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CF4C8E" w:rsidRDefault="0041330B"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№20</w:t>
      </w: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7F0241" w:rsidP="00BE34BD">
      <w:pPr>
        <w:pStyle w:val="a3"/>
        <w:rPr>
          <w:rFonts w:ascii="Times New Roman" w:hAnsi="Times New Roman"/>
          <w:sz w:val="24"/>
          <w:szCs w:val="24"/>
        </w:rPr>
      </w:pPr>
      <w:r>
        <w:rPr>
          <w:rFonts w:ascii="Times New Roman" w:hAnsi="Times New Roman"/>
          <w:sz w:val="24"/>
          <w:szCs w:val="24"/>
        </w:rPr>
        <w:t>Дата: «14</w:t>
      </w:r>
      <w:r w:rsidR="001E19BB">
        <w:rPr>
          <w:rFonts w:ascii="Times New Roman" w:hAnsi="Times New Roman"/>
          <w:sz w:val="24"/>
          <w:szCs w:val="24"/>
        </w:rPr>
        <w:t>» июнь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8B5E59" w:rsidRDefault="00BE34BD" w:rsidP="00BE34BD">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BE34BD" w:rsidRPr="00F95E44" w:rsidRDefault="00BE34BD" w:rsidP="00BE34BD">
      <w:pPr>
        <w:spacing w:after="0"/>
        <w:rPr>
          <w:rFonts w:ascii="Times New Roman" w:hAnsi="Times New Roman" w:cs="Times New Roman"/>
        </w:rPr>
      </w:pPr>
      <w:r>
        <w:rPr>
          <w:rFonts w:ascii="Times New Roman" w:hAnsi="Times New Roman" w:cs="Times New Roman"/>
          <w:b/>
          <w:sz w:val="24"/>
          <w:szCs w:val="24"/>
        </w:rPr>
        <w:tab/>
      </w:r>
      <w:r w:rsidR="0041330B">
        <w:rPr>
          <w:rFonts w:ascii="Times New Roman" w:hAnsi="Times New Roman" w:cs="Times New Roman"/>
          <w:b/>
          <w:sz w:val="24"/>
          <w:szCs w:val="24"/>
        </w:rPr>
        <w:t>Изоляционные материалы</w:t>
      </w:r>
      <w:r w:rsidR="00BE3B22">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7F0241"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19</w:t>
            </w:r>
            <w:r w:rsidR="00BE34BD" w:rsidRPr="001E19BB">
              <w:rPr>
                <w:rFonts w:ascii="Times New Roman" w:hAnsi="Times New Roman" w:cs="Times New Roman"/>
                <w:b/>
                <w:color w:val="0070C0"/>
                <w:sz w:val="24"/>
                <w:szCs w:val="24"/>
              </w:rPr>
              <w:t>.</w:t>
            </w:r>
            <w:r w:rsidR="001E19BB">
              <w:rPr>
                <w:rFonts w:ascii="Times New Roman" w:hAnsi="Times New Roman" w:cs="Times New Roman"/>
                <w:b/>
                <w:color w:val="0070C0"/>
                <w:sz w:val="24"/>
                <w:szCs w:val="24"/>
              </w:rPr>
              <w:t>06</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7F0241"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19</w:t>
            </w:r>
            <w:r w:rsidR="001E19BB">
              <w:rPr>
                <w:rFonts w:ascii="Times New Roman" w:hAnsi="Times New Roman" w:cs="Times New Roman"/>
                <w:b/>
                <w:color w:val="0070C0"/>
                <w:sz w:val="24"/>
                <w:szCs w:val="24"/>
              </w:rPr>
              <w:t>.06</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7F0241">
              <w:rPr>
                <w:rFonts w:ascii="Times New Roman" w:hAnsi="Times New Roman" w:cs="Times New Roman"/>
                <w:b/>
                <w:i/>
                <w:sz w:val="24"/>
                <w:szCs w:val="24"/>
              </w:rPr>
              <w:t>19</w:t>
            </w:r>
            <w:r w:rsidR="001E19BB">
              <w:rPr>
                <w:rFonts w:ascii="Times New Roman" w:hAnsi="Times New Roman" w:cs="Times New Roman"/>
                <w:b/>
                <w:i/>
                <w:sz w:val="24"/>
                <w:szCs w:val="24"/>
              </w:rPr>
              <w:t>.06</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w:t>
      </w:r>
      <w:r w:rsidRPr="00CF4C8E">
        <w:lastRenderedPageBreak/>
        <w:t>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 xml:space="preserve">ель: </w:t>
            </w:r>
            <w:proofErr w:type="spellStart"/>
            <w:r>
              <w:rPr>
                <w:rFonts w:ascii="Times New Roman" w:hAnsi="Times New Roman" w:cs="Times New Roman"/>
                <w:sz w:val="24"/>
                <w:szCs w:val="24"/>
                <w:lang w:val="ru-RU"/>
              </w:rPr>
              <w:t>Чойбеков</w:t>
            </w:r>
            <w:proofErr w:type="spellEnd"/>
            <w:r>
              <w:rPr>
                <w:rFonts w:ascii="Times New Roman" w:hAnsi="Times New Roman" w:cs="Times New Roman"/>
                <w:sz w:val="24"/>
                <w:szCs w:val="24"/>
                <w:lang w:val="ru-RU"/>
              </w:rPr>
              <w:t xml:space="preserve"> Ролан </w:t>
            </w:r>
            <w:proofErr w:type="spellStart"/>
            <w:r>
              <w:rPr>
                <w:rFonts w:ascii="Times New Roman" w:hAnsi="Times New Roman" w:cs="Times New Roman"/>
                <w:sz w:val="24"/>
                <w:szCs w:val="24"/>
                <w:lang w:val="ru-RU"/>
              </w:rPr>
              <w:t>Кадырбаевич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BE34BD" w:rsidRPr="00B05E4C" w:rsidRDefault="00BE34BD" w:rsidP="00492549">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Pr="00F95E44">
              <w:rPr>
                <w:b/>
                <w:color w:val="0000FF"/>
                <w:sz w:val="24"/>
                <w:szCs w:val="24"/>
                <w:lang w:val="ru-RU"/>
              </w:rPr>
              <w:t xml:space="preserve">Покупка </w:t>
            </w:r>
            <w:r w:rsidR="007F0241">
              <w:rPr>
                <w:b/>
                <w:color w:val="0000FF"/>
                <w:sz w:val="24"/>
                <w:szCs w:val="24"/>
                <w:lang w:val="ru-RU"/>
              </w:rPr>
              <w:t>Изоляционные материалы</w:t>
            </w:r>
            <w:r w:rsidR="00BE3B22" w:rsidRPr="001E19BB">
              <w:rPr>
                <w:b/>
                <w:sz w:val="24"/>
                <w:szCs w:val="24"/>
                <w:lang w:val="ru-RU"/>
              </w:rPr>
              <w:t xml:space="preserve"> </w:t>
            </w:r>
            <w:r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Pr>
                <w:rStyle w:val="field-groups-view"/>
                <w:b/>
                <w:color w:val="FF0000"/>
                <w:lang w:val="ru-RU"/>
              </w:rPr>
              <w:t>900</w:t>
            </w:r>
            <w:r w:rsidR="001E19BB">
              <w:rPr>
                <w:rStyle w:val="field-groups-view"/>
                <w:b/>
                <w:color w:val="FF0000"/>
                <w:lang w:val="ru-RU"/>
              </w:rPr>
              <w:t xml:space="preserve"> </w:t>
            </w:r>
            <w:r>
              <w:rPr>
                <w:rStyle w:val="field-groups-view"/>
                <w:b/>
                <w:color w:val="FF0000"/>
                <w:lang w:val="ru-RU"/>
              </w:rPr>
              <w:t>000 сом</w:t>
            </w:r>
            <w:r w:rsidRPr="00992D62">
              <w:rPr>
                <w:rStyle w:val="field-groups-view"/>
                <w:b/>
                <w:lang w:val="ru-RU"/>
              </w:rPr>
              <w:t xml:space="preserve">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1E19BB">
              <w:rPr>
                <w:b/>
                <w:sz w:val="24"/>
                <w:lang w:val="ru-RU"/>
              </w:rPr>
              <w:t xml:space="preserve"> Размер ГОКЗ</w:t>
            </w:r>
            <w:r w:rsidR="00BE3B22">
              <w:rPr>
                <w:b/>
                <w:sz w:val="24"/>
                <w:lang w:val="ru-RU"/>
              </w:rPr>
              <w:t xml:space="preserve">  </w:t>
            </w:r>
            <w:r w:rsidRPr="00E33E02">
              <w:rPr>
                <w:b/>
                <w:sz w:val="24"/>
                <w:lang w:val="ru-RU"/>
              </w:rPr>
              <w:t>2% от суммы конкурса.</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lastRenderedPageBreak/>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color w:val="000000" w:themeColor="text1"/>
                <w:sz w:val="24"/>
                <w:lang w:val="ru-RU"/>
              </w:rPr>
            </w:pPr>
            <w:r w:rsidRPr="00E33E02">
              <w:rPr>
                <w:b/>
                <w:sz w:val="24"/>
                <w:lang w:val="ru-RU"/>
              </w:rPr>
              <w:t>Гарантийное</w:t>
            </w:r>
            <w:r w:rsidRPr="00E33E02">
              <w:rPr>
                <w:b/>
                <w:spacing w:val="-4"/>
                <w:sz w:val="24"/>
                <w:lang w:val="ru-RU"/>
              </w:rPr>
              <w:t xml:space="preserve"> </w:t>
            </w:r>
            <w:r w:rsidRPr="00E33E02">
              <w:rPr>
                <w:b/>
                <w:sz w:val="24"/>
                <w:lang w:val="ru-RU"/>
              </w:rPr>
              <w:t>обеспечение</w:t>
            </w:r>
            <w:r w:rsidRPr="00E33E02">
              <w:rPr>
                <w:b/>
                <w:spacing w:val="-3"/>
                <w:sz w:val="24"/>
                <w:lang w:val="ru-RU"/>
              </w:rPr>
              <w:t xml:space="preserve"> </w:t>
            </w:r>
            <w:r w:rsidRPr="00E33E02">
              <w:rPr>
                <w:b/>
                <w:sz w:val="24"/>
                <w:lang w:val="ru-RU"/>
              </w:rPr>
              <w:t>исполнения</w:t>
            </w:r>
            <w:r w:rsidRPr="00E33E02">
              <w:rPr>
                <w:b/>
                <w:spacing w:val="-5"/>
                <w:sz w:val="24"/>
                <w:lang w:val="ru-RU"/>
              </w:rPr>
              <w:t xml:space="preserve"> </w:t>
            </w:r>
            <w:r w:rsidRPr="00E33E02">
              <w:rPr>
                <w:b/>
                <w:sz w:val="24"/>
                <w:lang w:val="ru-RU"/>
              </w:rPr>
              <w:t>договора 2</w:t>
            </w:r>
            <w:r w:rsidRPr="00E33E02">
              <w:rPr>
                <w:b/>
                <w:color w:val="000000" w:themeColor="text1"/>
                <w:sz w:val="24"/>
                <w:lang w:val="ru-RU"/>
              </w:rPr>
              <w:t>% от стоимости заключенного договора</w:t>
            </w:r>
          </w:p>
          <w:p w:rsidR="00BE34BD" w:rsidRPr="00E33E02" w:rsidRDefault="00BE34BD" w:rsidP="00492549">
            <w:pPr>
              <w:pStyle w:val="TableParagraph"/>
              <w:ind w:left="104"/>
              <w:rPr>
                <w:sz w:val="24"/>
                <w:lang w:val="ru-RU"/>
              </w:rPr>
            </w:pPr>
            <w:r w:rsidRPr="00E33E02">
              <w:rPr>
                <w:b/>
                <w:sz w:val="24"/>
                <w:lang w:val="ru-RU"/>
              </w:rPr>
              <w:t>Возврат ГОИД: в течение 3-х рабочих дней, после исполнения обязательств по договору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BE34BD" w:rsidRPr="0037017A" w:rsidRDefault="00BE34BD" w:rsidP="00BE34BD">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E34BD" w:rsidRPr="00E33E02" w:rsidRDefault="00BE34BD" w:rsidP="00BE34BD">
      <w:pPr>
        <w:jc w:val="right"/>
        <w:rPr>
          <w:rFonts w:ascii="Times New Roman" w:hAnsi="Times New Roman" w:cs="Times New Roman"/>
        </w:rPr>
      </w:pPr>
      <w:r w:rsidRPr="00E33E02">
        <w:rPr>
          <w:rFonts w:ascii="Times New Roman" w:hAnsi="Times New Roman" w:cs="Times New Roman"/>
        </w:rPr>
        <w:lastRenderedPageBreak/>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9056CA" w:rsidRDefault="009056CA" w:rsidP="00C53600">
      <w:pPr>
        <w:pStyle w:val="a3"/>
        <w:rPr>
          <w:lang w:val="ky-KG"/>
        </w:rPr>
      </w:pPr>
    </w:p>
    <w:p w:rsidR="00EA4714" w:rsidRPr="009F4A95" w:rsidRDefault="00EA4714" w:rsidP="00EA4714">
      <w:pPr>
        <w:jc w:val="right"/>
        <w:rPr>
          <w:rFonts w:ascii="Times New Roman" w:hAnsi="Times New Roman" w:cs="Times New Roman"/>
        </w:rPr>
      </w:pPr>
      <w:r w:rsidRPr="009F4A95">
        <w:rPr>
          <w:rFonts w:ascii="Times New Roman" w:hAnsi="Times New Roman" w:cs="Times New Roman"/>
        </w:rPr>
        <w:t>Приложение №3</w:t>
      </w:r>
    </w:p>
    <w:p w:rsidR="00EA4714" w:rsidRDefault="00EA4714" w:rsidP="00EA4714">
      <w:pPr>
        <w:ind w:firstLine="708"/>
      </w:pPr>
    </w:p>
    <w:p w:rsidR="00EA4714" w:rsidRDefault="00EA4714" w:rsidP="00EA4714">
      <w:pPr>
        <w:ind w:firstLine="708"/>
      </w:pPr>
    </w:p>
    <w:p w:rsidR="00EA4714" w:rsidRPr="00182334" w:rsidRDefault="00EA4714" w:rsidP="00EA4714">
      <w:pPr>
        <w:ind w:firstLine="708"/>
        <w:rPr>
          <w:b/>
          <w:sz w:val="36"/>
          <w:szCs w:val="36"/>
        </w:rPr>
      </w:pPr>
      <w:r>
        <w:rPr>
          <w:b/>
          <w:sz w:val="36"/>
          <w:szCs w:val="36"/>
        </w:rPr>
        <w:t xml:space="preserve">                      Изоляционные материалы</w:t>
      </w:r>
    </w:p>
    <w:p w:rsidR="00EA4714" w:rsidRDefault="00EA4714" w:rsidP="00EA4714">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44"/>
        <w:gridCol w:w="3477"/>
        <w:gridCol w:w="983"/>
        <w:gridCol w:w="1110"/>
        <w:gridCol w:w="1539"/>
        <w:gridCol w:w="1692"/>
      </w:tblGrid>
      <w:tr w:rsidR="00EA4714" w:rsidRPr="00182334" w:rsidTr="00621587">
        <w:tc>
          <w:tcPr>
            <w:tcW w:w="544" w:type="dxa"/>
          </w:tcPr>
          <w:p w:rsidR="00EA4714" w:rsidRPr="00182334" w:rsidRDefault="00EA4714" w:rsidP="00621587">
            <w:pPr>
              <w:rPr>
                <w:sz w:val="32"/>
                <w:szCs w:val="32"/>
              </w:rPr>
            </w:pPr>
            <w:r w:rsidRPr="00182334">
              <w:rPr>
                <w:sz w:val="32"/>
                <w:szCs w:val="32"/>
              </w:rPr>
              <w:t>№</w:t>
            </w:r>
          </w:p>
        </w:tc>
        <w:tc>
          <w:tcPr>
            <w:tcW w:w="3477" w:type="dxa"/>
          </w:tcPr>
          <w:p w:rsidR="00EA4714" w:rsidRPr="00182334" w:rsidRDefault="00EA4714" w:rsidP="00621587">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EA4714" w:rsidRPr="00182334" w:rsidRDefault="00EA4714" w:rsidP="00621587">
            <w:pPr>
              <w:rPr>
                <w:sz w:val="32"/>
                <w:szCs w:val="32"/>
              </w:rPr>
            </w:pPr>
          </w:p>
        </w:tc>
        <w:tc>
          <w:tcPr>
            <w:tcW w:w="983" w:type="dxa"/>
          </w:tcPr>
          <w:p w:rsidR="00EA4714" w:rsidRPr="00182334" w:rsidRDefault="00EA4714" w:rsidP="00621587">
            <w:pPr>
              <w:rPr>
                <w:sz w:val="32"/>
                <w:szCs w:val="32"/>
              </w:rPr>
            </w:pPr>
            <w:r w:rsidRPr="00182334">
              <w:rPr>
                <w:rFonts w:ascii="Times New Roman" w:hAnsi="Times New Roman" w:cs="Times New Roman"/>
                <w:color w:val="002060"/>
                <w:sz w:val="32"/>
                <w:szCs w:val="32"/>
              </w:rPr>
              <w:t>Ед. изм.</w:t>
            </w:r>
          </w:p>
        </w:tc>
        <w:tc>
          <w:tcPr>
            <w:tcW w:w="1110" w:type="dxa"/>
          </w:tcPr>
          <w:p w:rsidR="00EA4714" w:rsidRPr="00182334" w:rsidRDefault="00EA4714" w:rsidP="00621587">
            <w:pPr>
              <w:rPr>
                <w:sz w:val="32"/>
                <w:szCs w:val="32"/>
              </w:rPr>
            </w:pPr>
            <w:r w:rsidRPr="00182334">
              <w:rPr>
                <w:rFonts w:ascii="Times New Roman" w:hAnsi="Times New Roman" w:cs="Times New Roman"/>
                <w:color w:val="002060"/>
                <w:sz w:val="32"/>
                <w:szCs w:val="32"/>
              </w:rPr>
              <w:t>Кол-во</w:t>
            </w:r>
          </w:p>
        </w:tc>
        <w:tc>
          <w:tcPr>
            <w:tcW w:w="1539" w:type="dxa"/>
          </w:tcPr>
          <w:p w:rsidR="00EA4714" w:rsidRPr="00182334" w:rsidRDefault="00EA4714" w:rsidP="00621587">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EA4714" w:rsidRPr="00182334" w:rsidRDefault="00EA4714" w:rsidP="00621587">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92" w:type="dxa"/>
          </w:tcPr>
          <w:p w:rsidR="00EA4714" w:rsidRPr="00182334" w:rsidRDefault="00EA4714" w:rsidP="00621587">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EA4714" w:rsidRPr="00182334" w:rsidRDefault="00EA4714" w:rsidP="00621587">
            <w:pPr>
              <w:rPr>
                <w:sz w:val="32"/>
                <w:szCs w:val="32"/>
              </w:rPr>
            </w:pPr>
            <w:r w:rsidRPr="00182334">
              <w:rPr>
                <w:rFonts w:ascii="Times New Roman" w:hAnsi="Times New Roman" w:cs="Times New Roman"/>
                <w:color w:val="002060"/>
                <w:sz w:val="32"/>
                <w:szCs w:val="32"/>
              </w:rPr>
              <w:t xml:space="preserve">    (в сомах)</w:t>
            </w:r>
          </w:p>
        </w:tc>
      </w:tr>
      <w:tr w:rsidR="00EA4714" w:rsidRPr="00182334" w:rsidTr="00621587">
        <w:tc>
          <w:tcPr>
            <w:tcW w:w="544" w:type="dxa"/>
          </w:tcPr>
          <w:p w:rsidR="00EA4714" w:rsidRPr="00182334" w:rsidRDefault="00EA4714" w:rsidP="00621587">
            <w:pPr>
              <w:rPr>
                <w:sz w:val="32"/>
                <w:szCs w:val="32"/>
              </w:rPr>
            </w:pPr>
          </w:p>
        </w:tc>
        <w:tc>
          <w:tcPr>
            <w:tcW w:w="3477" w:type="dxa"/>
          </w:tcPr>
          <w:p w:rsidR="00EA4714" w:rsidRPr="009F3EFD" w:rsidRDefault="00EA4714" w:rsidP="00621587">
            <w:pPr>
              <w:rPr>
                <w:b/>
                <w:sz w:val="32"/>
                <w:szCs w:val="32"/>
              </w:rPr>
            </w:pPr>
            <w:r w:rsidRPr="00210444">
              <w:rPr>
                <w:rFonts w:ascii="Times New Roman" w:hAnsi="Times New Roman" w:cs="Times New Roman"/>
                <w:b/>
                <w:color w:val="002060"/>
                <w:sz w:val="24"/>
                <w:szCs w:val="24"/>
              </w:rPr>
              <w:t>Лот №1</w:t>
            </w:r>
          </w:p>
        </w:tc>
        <w:tc>
          <w:tcPr>
            <w:tcW w:w="983" w:type="dxa"/>
          </w:tcPr>
          <w:p w:rsidR="00EA4714" w:rsidRPr="009F3EFD" w:rsidRDefault="00EA4714" w:rsidP="00621587">
            <w:pPr>
              <w:rPr>
                <w:sz w:val="32"/>
                <w:szCs w:val="32"/>
                <w:lang w:val="en-US"/>
              </w:rPr>
            </w:pPr>
          </w:p>
        </w:tc>
        <w:tc>
          <w:tcPr>
            <w:tcW w:w="1110" w:type="dxa"/>
          </w:tcPr>
          <w:p w:rsidR="00EA4714" w:rsidRPr="00182334" w:rsidRDefault="00EA4714" w:rsidP="00621587">
            <w:pPr>
              <w:rPr>
                <w:sz w:val="32"/>
                <w:szCs w:val="32"/>
              </w:rPr>
            </w:pPr>
          </w:p>
        </w:tc>
        <w:tc>
          <w:tcPr>
            <w:tcW w:w="1539" w:type="dxa"/>
          </w:tcPr>
          <w:p w:rsidR="00EA4714" w:rsidRPr="00182334" w:rsidRDefault="00EA4714" w:rsidP="00621587">
            <w:pPr>
              <w:rPr>
                <w:sz w:val="32"/>
                <w:szCs w:val="32"/>
              </w:rPr>
            </w:pPr>
          </w:p>
        </w:tc>
        <w:tc>
          <w:tcPr>
            <w:tcW w:w="1692" w:type="dxa"/>
          </w:tcPr>
          <w:p w:rsidR="00EA4714" w:rsidRPr="00182334" w:rsidRDefault="00EA4714" w:rsidP="00621587">
            <w:pPr>
              <w:rPr>
                <w:sz w:val="32"/>
                <w:szCs w:val="32"/>
              </w:rPr>
            </w:pPr>
          </w:p>
        </w:tc>
      </w:tr>
      <w:tr w:rsidR="00EA4714" w:rsidRPr="00182334" w:rsidTr="00621587">
        <w:tc>
          <w:tcPr>
            <w:tcW w:w="544" w:type="dxa"/>
          </w:tcPr>
          <w:p w:rsidR="00EA4714" w:rsidRPr="00182334" w:rsidRDefault="00EA4714" w:rsidP="00621587">
            <w:pPr>
              <w:rPr>
                <w:sz w:val="32"/>
                <w:szCs w:val="32"/>
              </w:rPr>
            </w:pPr>
            <w:r>
              <w:rPr>
                <w:sz w:val="32"/>
                <w:szCs w:val="32"/>
              </w:rPr>
              <w:t>1</w:t>
            </w:r>
          </w:p>
        </w:tc>
        <w:tc>
          <w:tcPr>
            <w:tcW w:w="3477" w:type="dxa"/>
          </w:tcPr>
          <w:p w:rsidR="00EA4714" w:rsidRPr="009F3EFD" w:rsidRDefault="00EA4714" w:rsidP="00621587">
            <w:pPr>
              <w:rPr>
                <w:b/>
                <w:sz w:val="32"/>
                <w:szCs w:val="32"/>
              </w:rPr>
            </w:pPr>
            <w:r w:rsidRPr="009F3EFD">
              <w:rPr>
                <w:rFonts w:ascii="Inter" w:hAnsi="Inter"/>
                <w:b/>
                <w:color w:val="32394D"/>
                <w:sz w:val="21"/>
                <w:szCs w:val="21"/>
                <w:shd w:val="clear" w:color="auto" w:fill="FFFFFF"/>
              </w:rPr>
              <w:t>Стекло вата с фольгой, толщина 50мм</w:t>
            </w:r>
            <w:r w:rsidR="00A322FE">
              <w:rPr>
                <w:rFonts w:ascii="Inter" w:hAnsi="Inter"/>
                <w:b/>
                <w:color w:val="32394D"/>
                <w:sz w:val="21"/>
                <w:szCs w:val="21"/>
                <w:shd w:val="clear" w:color="auto" w:fill="FFFFFF"/>
              </w:rPr>
              <w:t xml:space="preserve"> (Базальт)</w:t>
            </w:r>
            <w:bookmarkStart w:id="1" w:name="_GoBack"/>
            <w:bookmarkEnd w:id="1"/>
          </w:p>
        </w:tc>
        <w:tc>
          <w:tcPr>
            <w:tcW w:w="983" w:type="dxa"/>
          </w:tcPr>
          <w:p w:rsidR="00EA4714" w:rsidRPr="009F3EFD" w:rsidRDefault="00EA4714" w:rsidP="00621587">
            <w:pPr>
              <w:rPr>
                <w:sz w:val="32"/>
                <w:szCs w:val="32"/>
                <w:lang w:val="en-US"/>
              </w:rPr>
            </w:pPr>
            <w:proofErr w:type="spellStart"/>
            <w:r>
              <w:rPr>
                <w:sz w:val="32"/>
                <w:szCs w:val="32"/>
              </w:rPr>
              <w:t>м.кв</w:t>
            </w:r>
            <w:proofErr w:type="spellEnd"/>
          </w:p>
        </w:tc>
        <w:tc>
          <w:tcPr>
            <w:tcW w:w="1110" w:type="dxa"/>
          </w:tcPr>
          <w:p w:rsidR="00EA4714" w:rsidRPr="00182334" w:rsidRDefault="00EA4714" w:rsidP="00621587">
            <w:pPr>
              <w:rPr>
                <w:sz w:val="32"/>
                <w:szCs w:val="32"/>
              </w:rPr>
            </w:pPr>
            <w:r>
              <w:rPr>
                <w:sz w:val="32"/>
                <w:szCs w:val="32"/>
              </w:rPr>
              <w:t>3000</w:t>
            </w:r>
          </w:p>
        </w:tc>
        <w:tc>
          <w:tcPr>
            <w:tcW w:w="1539" w:type="dxa"/>
          </w:tcPr>
          <w:p w:rsidR="00EA4714" w:rsidRPr="00182334" w:rsidRDefault="00EA4714" w:rsidP="00621587">
            <w:pPr>
              <w:rPr>
                <w:sz w:val="32"/>
                <w:szCs w:val="32"/>
              </w:rPr>
            </w:pPr>
          </w:p>
        </w:tc>
        <w:tc>
          <w:tcPr>
            <w:tcW w:w="1692" w:type="dxa"/>
          </w:tcPr>
          <w:p w:rsidR="00EA4714" w:rsidRPr="00182334" w:rsidRDefault="00EA4714" w:rsidP="00621587">
            <w:pPr>
              <w:rPr>
                <w:sz w:val="32"/>
                <w:szCs w:val="32"/>
              </w:rPr>
            </w:pPr>
          </w:p>
        </w:tc>
      </w:tr>
      <w:tr w:rsidR="00EA4714" w:rsidRPr="00182334" w:rsidTr="00621587">
        <w:tc>
          <w:tcPr>
            <w:tcW w:w="544" w:type="dxa"/>
          </w:tcPr>
          <w:p w:rsidR="00EA4714" w:rsidRPr="00182334" w:rsidRDefault="00EA4714" w:rsidP="00621587">
            <w:pPr>
              <w:rPr>
                <w:sz w:val="32"/>
                <w:szCs w:val="32"/>
              </w:rPr>
            </w:pPr>
            <w:r>
              <w:rPr>
                <w:sz w:val="32"/>
                <w:szCs w:val="32"/>
              </w:rPr>
              <w:t>2</w:t>
            </w:r>
          </w:p>
        </w:tc>
        <w:tc>
          <w:tcPr>
            <w:tcW w:w="3477" w:type="dxa"/>
          </w:tcPr>
          <w:p w:rsidR="00EA4714" w:rsidRPr="006C5E6F" w:rsidRDefault="00EA4714" w:rsidP="00621587">
            <w:pPr>
              <w:rPr>
                <w:sz w:val="24"/>
                <w:szCs w:val="24"/>
              </w:rPr>
            </w:pPr>
            <w:r w:rsidRPr="006C5E6F">
              <w:rPr>
                <w:sz w:val="24"/>
                <w:szCs w:val="24"/>
              </w:rPr>
              <w:t>Сетка ЦПВС «РОМБИК»</w:t>
            </w:r>
            <w:r>
              <w:rPr>
                <w:sz w:val="24"/>
                <w:szCs w:val="24"/>
              </w:rPr>
              <w:t xml:space="preserve"> </w:t>
            </w:r>
            <w:proofErr w:type="spellStart"/>
            <w:r>
              <w:rPr>
                <w:sz w:val="24"/>
                <w:szCs w:val="24"/>
              </w:rPr>
              <w:t>цельнометалическая</w:t>
            </w:r>
            <w:proofErr w:type="spellEnd"/>
          </w:p>
        </w:tc>
        <w:tc>
          <w:tcPr>
            <w:tcW w:w="983" w:type="dxa"/>
          </w:tcPr>
          <w:p w:rsidR="00EA4714" w:rsidRDefault="00EA4714" w:rsidP="00621587">
            <w:pPr>
              <w:rPr>
                <w:sz w:val="32"/>
                <w:szCs w:val="32"/>
              </w:rPr>
            </w:pPr>
            <w:proofErr w:type="spellStart"/>
            <w:r>
              <w:rPr>
                <w:sz w:val="32"/>
                <w:szCs w:val="32"/>
              </w:rPr>
              <w:t>м.кв</w:t>
            </w:r>
            <w:proofErr w:type="spellEnd"/>
          </w:p>
        </w:tc>
        <w:tc>
          <w:tcPr>
            <w:tcW w:w="1110" w:type="dxa"/>
          </w:tcPr>
          <w:p w:rsidR="00EA4714" w:rsidRDefault="00EA4714" w:rsidP="00621587">
            <w:pPr>
              <w:rPr>
                <w:sz w:val="32"/>
                <w:szCs w:val="32"/>
              </w:rPr>
            </w:pPr>
            <w:r>
              <w:rPr>
                <w:sz w:val="32"/>
                <w:szCs w:val="32"/>
              </w:rPr>
              <w:t>3000</w:t>
            </w:r>
          </w:p>
        </w:tc>
        <w:tc>
          <w:tcPr>
            <w:tcW w:w="1539" w:type="dxa"/>
          </w:tcPr>
          <w:p w:rsidR="00EA4714" w:rsidRDefault="00EA4714" w:rsidP="00621587">
            <w:pPr>
              <w:rPr>
                <w:sz w:val="32"/>
                <w:szCs w:val="32"/>
              </w:rPr>
            </w:pPr>
          </w:p>
        </w:tc>
        <w:tc>
          <w:tcPr>
            <w:tcW w:w="1692" w:type="dxa"/>
          </w:tcPr>
          <w:p w:rsidR="00EA4714" w:rsidRPr="00182334" w:rsidRDefault="00EA4714" w:rsidP="00621587">
            <w:pPr>
              <w:rPr>
                <w:sz w:val="32"/>
                <w:szCs w:val="32"/>
              </w:rPr>
            </w:pPr>
          </w:p>
        </w:tc>
      </w:tr>
      <w:tr w:rsidR="00EA4714" w:rsidRPr="00182334" w:rsidTr="00621587">
        <w:tc>
          <w:tcPr>
            <w:tcW w:w="544" w:type="dxa"/>
          </w:tcPr>
          <w:p w:rsidR="00EA4714" w:rsidRPr="00182334" w:rsidRDefault="00EA4714" w:rsidP="00621587">
            <w:pPr>
              <w:rPr>
                <w:sz w:val="32"/>
                <w:szCs w:val="32"/>
              </w:rPr>
            </w:pPr>
            <w:r>
              <w:rPr>
                <w:sz w:val="32"/>
                <w:szCs w:val="32"/>
              </w:rPr>
              <w:t>3</w:t>
            </w:r>
          </w:p>
        </w:tc>
        <w:tc>
          <w:tcPr>
            <w:tcW w:w="3477" w:type="dxa"/>
          </w:tcPr>
          <w:p w:rsidR="00EA4714" w:rsidRPr="006C5E6F" w:rsidRDefault="00EA4714" w:rsidP="00621587">
            <w:pPr>
              <w:rPr>
                <w:sz w:val="24"/>
                <w:szCs w:val="24"/>
              </w:rPr>
            </w:pPr>
            <w:r w:rsidRPr="006C5E6F">
              <w:rPr>
                <w:sz w:val="24"/>
                <w:szCs w:val="24"/>
              </w:rPr>
              <w:t>Проволока вязальная</w:t>
            </w:r>
            <w:r>
              <w:rPr>
                <w:sz w:val="24"/>
                <w:szCs w:val="24"/>
              </w:rPr>
              <w:t xml:space="preserve"> 1,2,3</w:t>
            </w:r>
          </w:p>
        </w:tc>
        <w:tc>
          <w:tcPr>
            <w:tcW w:w="983" w:type="dxa"/>
          </w:tcPr>
          <w:p w:rsidR="00EA4714" w:rsidRDefault="00EA4714" w:rsidP="00621587">
            <w:pPr>
              <w:rPr>
                <w:sz w:val="32"/>
                <w:szCs w:val="32"/>
              </w:rPr>
            </w:pPr>
            <w:r>
              <w:rPr>
                <w:sz w:val="32"/>
                <w:szCs w:val="32"/>
              </w:rPr>
              <w:t>кг.</w:t>
            </w:r>
          </w:p>
        </w:tc>
        <w:tc>
          <w:tcPr>
            <w:tcW w:w="1110" w:type="dxa"/>
          </w:tcPr>
          <w:p w:rsidR="00EA4714" w:rsidRDefault="00EA4714" w:rsidP="00621587">
            <w:pPr>
              <w:rPr>
                <w:sz w:val="32"/>
                <w:szCs w:val="32"/>
              </w:rPr>
            </w:pPr>
            <w:r>
              <w:rPr>
                <w:sz w:val="32"/>
                <w:szCs w:val="32"/>
              </w:rPr>
              <w:t>500</w:t>
            </w:r>
          </w:p>
        </w:tc>
        <w:tc>
          <w:tcPr>
            <w:tcW w:w="1539" w:type="dxa"/>
          </w:tcPr>
          <w:p w:rsidR="00EA4714" w:rsidRDefault="00EA4714" w:rsidP="00621587">
            <w:pPr>
              <w:rPr>
                <w:sz w:val="32"/>
                <w:szCs w:val="32"/>
              </w:rPr>
            </w:pPr>
          </w:p>
        </w:tc>
        <w:tc>
          <w:tcPr>
            <w:tcW w:w="1692" w:type="dxa"/>
          </w:tcPr>
          <w:p w:rsidR="00EA4714" w:rsidRPr="00182334" w:rsidRDefault="00EA4714" w:rsidP="00621587">
            <w:pPr>
              <w:rPr>
                <w:sz w:val="32"/>
                <w:szCs w:val="32"/>
              </w:rPr>
            </w:pPr>
          </w:p>
        </w:tc>
      </w:tr>
      <w:tr w:rsidR="00EA4714" w:rsidRPr="00182334" w:rsidTr="00621587">
        <w:tc>
          <w:tcPr>
            <w:tcW w:w="544" w:type="dxa"/>
          </w:tcPr>
          <w:p w:rsidR="00EA4714" w:rsidRPr="00182334" w:rsidRDefault="00EA4714" w:rsidP="00621587">
            <w:pPr>
              <w:rPr>
                <w:sz w:val="32"/>
                <w:szCs w:val="32"/>
              </w:rPr>
            </w:pPr>
          </w:p>
        </w:tc>
        <w:tc>
          <w:tcPr>
            <w:tcW w:w="3477" w:type="dxa"/>
          </w:tcPr>
          <w:p w:rsidR="00EA4714" w:rsidRPr="00182334" w:rsidRDefault="00EA4714" w:rsidP="00621587">
            <w:pPr>
              <w:rPr>
                <w:b/>
                <w:sz w:val="32"/>
                <w:szCs w:val="32"/>
              </w:rPr>
            </w:pPr>
            <w:r w:rsidRPr="00182334">
              <w:rPr>
                <w:b/>
                <w:sz w:val="32"/>
                <w:szCs w:val="32"/>
              </w:rPr>
              <w:t>ИТОГО:</w:t>
            </w:r>
          </w:p>
        </w:tc>
        <w:tc>
          <w:tcPr>
            <w:tcW w:w="983" w:type="dxa"/>
          </w:tcPr>
          <w:p w:rsidR="00EA4714" w:rsidRPr="00182334" w:rsidRDefault="00EA4714" w:rsidP="00621587">
            <w:pPr>
              <w:rPr>
                <w:sz w:val="32"/>
                <w:szCs w:val="32"/>
              </w:rPr>
            </w:pPr>
          </w:p>
        </w:tc>
        <w:tc>
          <w:tcPr>
            <w:tcW w:w="1110" w:type="dxa"/>
          </w:tcPr>
          <w:p w:rsidR="00EA4714" w:rsidRPr="00182334" w:rsidRDefault="00EA4714" w:rsidP="00621587">
            <w:pPr>
              <w:rPr>
                <w:sz w:val="32"/>
                <w:szCs w:val="32"/>
              </w:rPr>
            </w:pPr>
          </w:p>
        </w:tc>
        <w:tc>
          <w:tcPr>
            <w:tcW w:w="1539" w:type="dxa"/>
          </w:tcPr>
          <w:p w:rsidR="00EA4714" w:rsidRPr="00182334" w:rsidRDefault="00EA4714" w:rsidP="00621587">
            <w:pPr>
              <w:rPr>
                <w:sz w:val="32"/>
                <w:szCs w:val="32"/>
              </w:rPr>
            </w:pPr>
          </w:p>
        </w:tc>
        <w:tc>
          <w:tcPr>
            <w:tcW w:w="1692" w:type="dxa"/>
          </w:tcPr>
          <w:p w:rsidR="00EA4714" w:rsidRPr="00182334" w:rsidRDefault="00EA4714" w:rsidP="00621587">
            <w:pPr>
              <w:rPr>
                <w:b/>
                <w:sz w:val="32"/>
                <w:szCs w:val="32"/>
              </w:rPr>
            </w:pPr>
            <w:r>
              <w:rPr>
                <w:b/>
                <w:sz w:val="32"/>
                <w:szCs w:val="32"/>
              </w:rPr>
              <w:t>880 000</w:t>
            </w:r>
          </w:p>
        </w:tc>
      </w:tr>
    </w:tbl>
    <w:p w:rsidR="00EA4714" w:rsidRPr="00182334" w:rsidRDefault="00EA4714" w:rsidP="00EA4714">
      <w:pPr>
        <w:ind w:firstLine="708"/>
        <w:rPr>
          <w:sz w:val="32"/>
          <w:szCs w:val="32"/>
        </w:rPr>
      </w:pPr>
    </w:p>
    <w:p w:rsidR="00C266BD" w:rsidRPr="00474CEC" w:rsidRDefault="00C266BD" w:rsidP="00C266BD">
      <w:r w:rsidRPr="00977D1A">
        <w:rPr>
          <w:sz w:val="36"/>
          <w:szCs w:val="36"/>
        </w:rPr>
        <w:t>Выделяема</w:t>
      </w:r>
      <w:r>
        <w:rPr>
          <w:sz w:val="36"/>
          <w:szCs w:val="36"/>
        </w:rPr>
        <w:t xml:space="preserve">я сумма на данную закупку: </w:t>
      </w:r>
      <w:r w:rsidRPr="00C266BD">
        <w:rPr>
          <w:b/>
          <w:sz w:val="36"/>
          <w:szCs w:val="36"/>
        </w:rPr>
        <w:t>880 000</w:t>
      </w:r>
      <w:r w:rsidRPr="00977D1A">
        <w:rPr>
          <w:sz w:val="36"/>
          <w:szCs w:val="36"/>
        </w:rPr>
        <w:t xml:space="preserve"> сом</w:t>
      </w:r>
      <w:r>
        <w:rPr>
          <w:sz w:val="36"/>
          <w:szCs w:val="36"/>
        </w:rPr>
        <w:t xml:space="preserve"> (</w:t>
      </w:r>
      <w:r>
        <w:rPr>
          <w:sz w:val="36"/>
          <w:szCs w:val="36"/>
        </w:rPr>
        <w:t>восемьсот восемьдесят тысячи</w:t>
      </w:r>
      <w:r>
        <w:rPr>
          <w:sz w:val="36"/>
          <w:szCs w:val="36"/>
        </w:rPr>
        <w:t>) сом.</w:t>
      </w:r>
    </w:p>
    <w:p w:rsidR="00EA4714" w:rsidRPr="00C266BD" w:rsidRDefault="00EA4714" w:rsidP="00C53600">
      <w:pPr>
        <w:pStyle w:val="a3"/>
      </w:pPr>
    </w:p>
    <w:sectPr w:rsidR="00EA4714"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1E19BB"/>
    <w:rsid w:val="001E5F0A"/>
    <w:rsid w:val="00353FDA"/>
    <w:rsid w:val="0041330B"/>
    <w:rsid w:val="00683C85"/>
    <w:rsid w:val="007F0241"/>
    <w:rsid w:val="00837040"/>
    <w:rsid w:val="00867F06"/>
    <w:rsid w:val="008738E1"/>
    <w:rsid w:val="009056CA"/>
    <w:rsid w:val="009400E3"/>
    <w:rsid w:val="00A322FE"/>
    <w:rsid w:val="00A46189"/>
    <w:rsid w:val="00AD0161"/>
    <w:rsid w:val="00B21ADE"/>
    <w:rsid w:val="00BE34BD"/>
    <w:rsid w:val="00BE3B22"/>
    <w:rsid w:val="00C266BD"/>
    <w:rsid w:val="00C53600"/>
    <w:rsid w:val="00EA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D6F0"/>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23</cp:revision>
  <cp:lastPrinted>2020-05-29T04:37:00Z</cp:lastPrinted>
  <dcterms:created xsi:type="dcterms:W3CDTF">2020-05-29T04:10:00Z</dcterms:created>
  <dcterms:modified xsi:type="dcterms:W3CDTF">2023-06-14T11:35:00Z</dcterms:modified>
</cp:coreProperties>
</file>