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DC2547" w:rsidRDefault="006C46AA" w:rsidP="006C46AA">
      <w:pPr>
        <w:pStyle w:val="1"/>
        <w:rPr>
          <w:lang w:val="ru-RU"/>
        </w:rPr>
      </w:pPr>
      <w:r w:rsidRPr="00DC2547">
        <w:rPr>
          <w:lang w:val="ru-RU"/>
        </w:rPr>
        <w:t xml:space="preserve">                                            </w:t>
      </w:r>
      <w:r w:rsidR="00811271">
        <w:rPr>
          <w:lang w:val="ru-RU"/>
        </w:rPr>
        <w:t xml:space="preserve">                           </w:t>
      </w:r>
      <w:r w:rsidR="00FF1DE4" w:rsidRPr="00CF4C8E">
        <w:t>ПРИГЛАШЕНИЕ №</w:t>
      </w:r>
      <w:r>
        <w:t>0</w:t>
      </w:r>
      <w:r w:rsidR="006925EC">
        <w:rPr>
          <w:lang w:val="ru-RU"/>
        </w:rPr>
        <w:t>4</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1207E3">
        <w:rPr>
          <w:rFonts w:ascii="Times New Roman" w:hAnsi="Times New Roman"/>
          <w:sz w:val="24"/>
          <w:szCs w:val="24"/>
          <w:lang w:val="ky-KG"/>
        </w:rPr>
        <w:t>6</w:t>
      </w:r>
      <w:r w:rsidR="00652EFC">
        <w:rPr>
          <w:rFonts w:ascii="Times New Roman" w:hAnsi="Times New Roman"/>
          <w:sz w:val="24"/>
          <w:szCs w:val="24"/>
        </w:rPr>
        <w:t xml:space="preserve">» </w:t>
      </w:r>
      <w:r w:rsidR="001207E3">
        <w:rPr>
          <w:rFonts w:ascii="Times New Roman" w:hAnsi="Times New Roman"/>
          <w:sz w:val="24"/>
          <w:szCs w:val="24"/>
          <w:lang w:val="ky-KG"/>
        </w:rPr>
        <w:t>сентябрь</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proofErr w:type="gramStart"/>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1207E3">
        <w:rPr>
          <w:rFonts w:ascii="Times New Roman" w:hAnsi="Times New Roman" w:cs="Times New Roman"/>
          <w:b/>
          <w:color w:val="0000CC"/>
          <w:sz w:val="24"/>
          <w:szCs w:val="24"/>
          <w:lang w:val="ky-KG"/>
        </w:rPr>
        <w:t xml:space="preserve">экологические угольные технические паспорты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roofErr w:type="gramEnd"/>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0A6DD4" w:rsidP="001207E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08</w:t>
            </w:r>
            <w:r w:rsidR="001207E3">
              <w:rPr>
                <w:rFonts w:ascii="Times New Roman" w:hAnsi="Times New Roman" w:cs="Times New Roman"/>
                <w:b/>
                <w:color w:val="0070C0"/>
                <w:sz w:val="24"/>
                <w:szCs w:val="24"/>
                <w:lang w:val="ky-KG"/>
              </w:rPr>
              <w:t>.09</w:t>
            </w:r>
            <w:r w:rsidR="00652EFC">
              <w:rPr>
                <w:rFonts w:ascii="Times New Roman" w:hAnsi="Times New Roman" w:cs="Times New Roman"/>
                <w:b/>
                <w:color w:val="0070C0"/>
                <w:sz w:val="24"/>
                <w:szCs w:val="24"/>
              </w:rPr>
              <w:t>.2022г. 1</w:t>
            </w:r>
            <w:r>
              <w:rPr>
                <w:rFonts w:ascii="Times New Roman" w:hAnsi="Times New Roman" w:cs="Times New Roman"/>
                <w:b/>
                <w:color w:val="0070C0"/>
                <w:sz w:val="24"/>
                <w:szCs w:val="24"/>
                <w:lang w:val="ky-KG"/>
              </w:rPr>
              <w:t>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0A6DD4"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08</w:t>
            </w:r>
            <w:r w:rsidR="001207E3">
              <w:rPr>
                <w:rFonts w:ascii="Times New Roman" w:hAnsi="Times New Roman" w:cs="Times New Roman"/>
                <w:b/>
                <w:color w:val="0070C0"/>
                <w:sz w:val="24"/>
                <w:szCs w:val="24"/>
              </w:rPr>
              <w:t>.0</w:t>
            </w:r>
            <w:r w:rsidR="001207E3">
              <w:rPr>
                <w:rFonts w:ascii="Times New Roman" w:hAnsi="Times New Roman" w:cs="Times New Roman"/>
                <w:b/>
                <w:color w:val="0070C0"/>
                <w:sz w:val="24"/>
                <w:szCs w:val="24"/>
                <w:lang w:val="ky-KG"/>
              </w:rPr>
              <w:t>9</w:t>
            </w:r>
            <w:r w:rsidR="00FF1DE4" w:rsidRPr="00CF4C8E">
              <w:rPr>
                <w:rFonts w:ascii="Times New Roman" w:hAnsi="Times New Roman" w:cs="Times New Roman"/>
                <w:b/>
                <w:color w:val="0070C0"/>
                <w:sz w:val="24"/>
                <w:szCs w:val="24"/>
              </w:rPr>
              <w:t xml:space="preserve">.2022г. с </w:t>
            </w:r>
            <w:r w:rsidR="001207E3">
              <w:rPr>
                <w:rFonts w:ascii="Times New Roman" w:hAnsi="Times New Roman" w:cs="Times New Roman"/>
                <w:b/>
                <w:color w:val="0070C0"/>
                <w:sz w:val="24"/>
                <w:szCs w:val="24"/>
                <w:lang w:val="ky-KG"/>
              </w:rPr>
              <w:t>1</w:t>
            </w:r>
            <w:r>
              <w:rPr>
                <w:rFonts w:ascii="Times New Roman" w:hAnsi="Times New Roman" w:cs="Times New Roman"/>
                <w:b/>
                <w:color w:val="0070C0"/>
                <w:sz w:val="24"/>
                <w:szCs w:val="24"/>
                <w:lang w:val="ky-KG"/>
              </w:rPr>
              <w:t>0</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rPr>
              <w:t>0 до 1</w:t>
            </w:r>
            <w:r>
              <w:rPr>
                <w:rFonts w:ascii="Times New Roman" w:hAnsi="Times New Roman" w:cs="Times New Roman"/>
                <w:b/>
                <w:color w:val="0070C0"/>
                <w:sz w:val="24"/>
                <w:szCs w:val="24"/>
                <w:lang w:val="ky-KG"/>
              </w:rPr>
              <w:t>2</w:t>
            </w:r>
            <w:r w:rsidR="00FA4159"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1207E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0A6DD4">
              <w:rPr>
                <w:rFonts w:ascii="Times New Roman" w:hAnsi="Times New Roman" w:cs="Times New Roman"/>
                <w:b/>
                <w:i/>
                <w:sz w:val="24"/>
                <w:szCs w:val="24"/>
                <w:lang w:val="ky-KG"/>
              </w:rPr>
              <w:t>08</w:t>
            </w:r>
            <w:bookmarkStart w:id="0" w:name="_GoBack"/>
            <w:bookmarkEnd w:id="0"/>
            <w:r w:rsidR="001207E3">
              <w:rPr>
                <w:rFonts w:ascii="Times New Roman" w:hAnsi="Times New Roman" w:cs="Times New Roman"/>
                <w:b/>
                <w:i/>
                <w:sz w:val="24"/>
                <w:szCs w:val="24"/>
                <w:lang w:val="ky-KG"/>
              </w:rPr>
              <w:t>.09</w:t>
            </w:r>
            <w:r w:rsidR="001207E3">
              <w:rPr>
                <w:rFonts w:ascii="Times New Roman" w:hAnsi="Times New Roman" w:cs="Times New Roman"/>
                <w:b/>
                <w:i/>
                <w:sz w:val="24"/>
                <w:szCs w:val="24"/>
              </w:rPr>
              <w:t>.2022г. в 1</w:t>
            </w:r>
            <w:r w:rsidR="000A6DD4">
              <w:rPr>
                <w:rFonts w:ascii="Times New Roman" w:hAnsi="Times New Roman" w:cs="Times New Roman"/>
                <w:b/>
                <w:i/>
                <w:sz w:val="24"/>
                <w:szCs w:val="24"/>
                <w:lang w:val="ky-KG"/>
              </w:rPr>
              <w:t>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1"/>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r w:rsidR="00081E7E">
              <w:rPr>
                <w:rFonts w:ascii="Times New Roman" w:hAnsi="Times New Roman" w:cs="Times New Roman"/>
                <w:spacing w:val="1"/>
                <w:sz w:val="24"/>
                <w:szCs w:val="24"/>
                <w:lang w:val="ky-KG"/>
              </w:rPr>
              <w:t>, 0705997430</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lastRenderedPageBreak/>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1207E3">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proofErr w:type="gramStart"/>
            <w:r w:rsidR="001207E3">
              <w:rPr>
                <w:b/>
                <w:color w:val="0000CC"/>
                <w:sz w:val="24"/>
                <w:szCs w:val="24"/>
                <w:lang w:val="ky-KG"/>
              </w:rPr>
              <w:t>экологические</w:t>
            </w:r>
            <w:proofErr w:type="gramEnd"/>
            <w:r w:rsidR="001207E3">
              <w:rPr>
                <w:b/>
                <w:color w:val="0000CC"/>
                <w:sz w:val="24"/>
                <w:szCs w:val="24"/>
                <w:lang w:val="ky-KG"/>
              </w:rPr>
              <w:t xml:space="preserve"> угольные технические паспорты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 xml:space="preserve">Оплата проводиться после </w:t>
            </w:r>
            <w:r w:rsidR="001207E3">
              <w:rPr>
                <w:b/>
                <w:sz w:val="24"/>
                <w:lang w:val="ky-KG"/>
              </w:rPr>
              <w:t>заключение технические паспортта</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1207E3">
              <w:rPr>
                <w:b/>
                <w:sz w:val="24"/>
                <w:lang w:val="ky-KG"/>
              </w:rPr>
              <w:t xml:space="preserve"> гарантийное письмо</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lastRenderedPageBreak/>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r w:rsidR="00831C54">
        <w:rPr>
          <w:rFonts w:ascii="Times New Roman" w:hAnsi="Times New Roman" w:cs="Times New Roman"/>
          <w:b/>
          <w:sz w:val="24"/>
          <w:lang w:val="ky-KG"/>
        </w:rPr>
        <w:t>лмира</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831C54">
        <w:rPr>
          <w:rFonts w:ascii="Times New Roman" w:hAnsi="Times New Roman" w:cs="Times New Roman"/>
          <w:b/>
          <w:sz w:val="24"/>
          <w:lang w:val="ky-KG"/>
        </w:rPr>
        <w:t>Токтомуш уулу Канат</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BE724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BE724E" w:rsidRDefault="00BE724E" w:rsidP="00863140">
      <w:pPr>
        <w:rPr>
          <w:rFonts w:ascii="Times New Roman" w:eastAsiaTheme="minorHAnsi" w:hAnsi="Times New Roman" w:cs="Times New Roman"/>
          <w:b/>
          <w:sz w:val="19"/>
          <w:szCs w:val="19"/>
          <w:lang w:val="ky-KG"/>
        </w:rPr>
      </w:pPr>
    </w:p>
    <w:p w:rsidR="00102F7E" w:rsidRPr="00E33E02" w:rsidRDefault="00730C93" w:rsidP="00863140">
      <w:pPr>
        <w:rPr>
          <w:rFonts w:ascii="Times New Roman" w:hAnsi="Times New Roman" w:cs="Times New Roman"/>
        </w:rPr>
      </w:pPr>
      <w:r w:rsidRPr="00E33E02">
        <w:rPr>
          <w:rFonts w:ascii="Times New Roman" w:hAnsi="Times New Roman" w:cs="Times New Roman"/>
        </w:rPr>
        <w:lastRenderedPageBreak/>
        <w:t>Приложение №2</w:t>
      </w:r>
    </w:p>
    <w:p w:rsidR="00163ABC" w:rsidRPr="00E33E02" w:rsidRDefault="00BE724E" w:rsidP="00BE724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BE724E" w:rsidRDefault="00BE724E" w:rsidP="00163ABC">
      <w:pPr>
        <w:spacing w:after="0"/>
        <w:rPr>
          <w:rFonts w:ascii="Times New Roman" w:hAnsi="Times New Roman" w:cs="Times New Roman"/>
          <w:lang w:val="ky-KG"/>
        </w:rPr>
      </w:pPr>
    </w:p>
    <w:p w:rsidR="00DC2547" w:rsidRDefault="00081E7E" w:rsidP="003939A7">
      <w:pPr>
        <w:spacing w:after="0"/>
        <w:rPr>
          <w:rFonts w:ascii="Times New Roman" w:hAnsi="Times New Roman" w:cs="Times New Roman"/>
          <w:lang w:val="ky-KG"/>
        </w:rPr>
      </w:pPr>
      <w:r>
        <w:rPr>
          <w:rFonts w:ascii="Times New Roman" w:hAnsi="Times New Roman" w:cs="Times New Roman"/>
          <w:lang w:val="ky-KG"/>
        </w:rPr>
        <w:lastRenderedPageBreak/>
        <w:t xml:space="preserve"> </w:t>
      </w: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tbl>
      <w:tblPr>
        <w:tblW w:w="7528" w:type="dxa"/>
        <w:tblInd w:w="93" w:type="dxa"/>
        <w:tblLayout w:type="fixed"/>
        <w:tblLook w:val="04A0" w:firstRow="1" w:lastRow="0" w:firstColumn="1" w:lastColumn="0" w:noHBand="0" w:noVBand="1"/>
      </w:tblPr>
      <w:tblGrid>
        <w:gridCol w:w="1008"/>
        <w:gridCol w:w="1984"/>
        <w:gridCol w:w="851"/>
        <w:gridCol w:w="850"/>
        <w:gridCol w:w="1276"/>
        <w:gridCol w:w="1559"/>
      </w:tblGrid>
      <w:tr w:rsidR="003939A7" w:rsidRPr="003939A7" w:rsidTr="003939A7">
        <w:trPr>
          <w:trHeight w:val="51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w:t>
            </w:r>
            <w:proofErr w:type="gramStart"/>
            <w:r w:rsidRPr="003939A7">
              <w:rPr>
                <w:rFonts w:ascii="Arial Cyr" w:eastAsia="Times New Roman" w:hAnsi="Arial Cyr" w:cs="Calibri"/>
                <w:sz w:val="20"/>
                <w:szCs w:val="20"/>
              </w:rPr>
              <w:t>п</w:t>
            </w:r>
            <w:proofErr w:type="gramEnd"/>
            <w:r w:rsidRPr="003939A7">
              <w:rPr>
                <w:rFonts w:ascii="Arial Cyr" w:eastAsia="Times New Roman" w:hAnsi="Arial Cyr" w:cs="Calibri"/>
                <w:sz w:val="20"/>
                <w:szCs w:val="20"/>
              </w:rPr>
              <w:t>/п</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наименование услуги</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r w:rsidRPr="003939A7">
              <w:rPr>
                <w:rFonts w:ascii="Arial Cyr" w:eastAsia="Times New Roman" w:hAnsi="Arial Cyr" w:cs="Calibri"/>
                <w:sz w:val="20"/>
                <w:szCs w:val="20"/>
              </w:rPr>
              <w:t>ед</w:t>
            </w:r>
            <w:proofErr w:type="gramStart"/>
            <w:r w:rsidRPr="003939A7">
              <w:rPr>
                <w:rFonts w:ascii="Arial Cyr" w:eastAsia="Times New Roman" w:hAnsi="Arial Cyr" w:cs="Calibri"/>
                <w:sz w:val="20"/>
                <w:szCs w:val="20"/>
              </w:rPr>
              <w:t>.и</w:t>
            </w:r>
            <w:proofErr w:type="gramEnd"/>
            <w:r w:rsidRPr="003939A7">
              <w:rPr>
                <w:rFonts w:ascii="Arial Cyr" w:eastAsia="Times New Roman" w:hAnsi="Arial Cyr" w:cs="Calibri"/>
                <w:sz w:val="20"/>
                <w:szCs w:val="20"/>
              </w:rPr>
              <w:t>зм</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цен</w:t>
            </w:r>
            <w:proofErr w:type="gramStart"/>
            <w:r w:rsidRPr="003939A7">
              <w:rPr>
                <w:rFonts w:ascii="Arial Cyr" w:eastAsia="Times New Roman" w:hAnsi="Arial Cyr" w:cs="Calibri"/>
                <w:sz w:val="20"/>
                <w:szCs w:val="20"/>
              </w:rPr>
              <w:t>а(</w:t>
            </w:r>
            <w:proofErr w:type="gramEnd"/>
            <w:r w:rsidRPr="003939A7">
              <w:rPr>
                <w:rFonts w:ascii="Arial Cyr" w:eastAsia="Times New Roman" w:hAnsi="Arial Cyr" w:cs="Calibri"/>
                <w:sz w:val="20"/>
                <w:szCs w:val="20"/>
              </w:rPr>
              <w:t>сом)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Стоимость</w:t>
            </w:r>
          </w:p>
        </w:tc>
      </w:tr>
      <w:tr w:rsidR="003939A7" w:rsidRPr="003939A7" w:rsidTr="003939A7">
        <w:trPr>
          <w:trHeight w:val="76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jc w:val="right"/>
              <w:rPr>
                <w:rFonts w:ascii="Arial Cyr" w:eastAsia="Times New Roman" w:hAnsi="Arial Cyr" w:cs="Calibri"/>
                <w:sz w:val="20"/>
                <w:szCs w:val="20"/>
              </w:rPr>
            </w:pPr>
            <w:r w:rsidRPr="003939A7">
              <w:rPr>
                <w:rFonts w:ascii="Arial Cyr" w:eastAsia="Times New Roman" w:hAnsi="Arial Cyr" w:cs="Calibri"/>
                <w:sz w:val="20"/>
                <w:szCs w:val="20"/>
              </w:rPr>
              <w:t>1</w:t>
            </w:r>
          </w:p>
        </w:tc>
        <w:tc>
          <w:tcPr>
            <w:tcW w:w="1984"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За разработку экологических паспортов</w:t>
            </w:r>
          </w:p>
        </w:tc>
        <w:tc>
          <w:tcPr>
            <w:tcW w:w="851"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proofErr w:type="gramStart"/>
            <w:r w:rsidRPr="003939A7">
              <w:rPr>
                <w:rFonts w:ascii="Arial Cyr" w:eastAsia="Times New Roman" w:hAnsi="Arial Cyr" w:cs="Calibri"/>
                <w:sz w:val="20"/>
                <w:szCs w:val="20"/>
              </w:rPr>
              <w:t>шт</w:t>
            </w:r>
            <w:proofErr w:type="spellEnd"/>
            <w:proofErr w:type="gramEnd"/>
          </w:p>
        </w:tc>
        <w:tc>
          <w:tcPr>
            <w:tcW w:w="850"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jc w:val="right"/>
              <w:rPr>
                <w:rFonts w:ascii="Arial Cyr" w:eastAsia="Times New Roman" w:hAnsi="Arial Cyr" w:cs="Calibri"/>
                <w:sz w:val="20"/>
                <w:szCs w:val="20"/>
              </w:rPr>
            </w:pPr>
            <w:r w:rsidRPr="003939A7">
              <w:rPr>
                <w:rFonts w:ascii="Arial Cyr" w:eastAsia="Times New Roman" w:hAnsi="Arial Cyr" w:cs="Calibri"/>
                <w:sz w:val="20"/>
                <w:szCs w:val="20"/>
              </w:rPr>
              <w:t>3</w:t>
            </w:r>
          </w:p>
        </w:tc>
        <w:tc>
          <w:tcPr>
            <w:tcW w:w="1276" w:type="dxa"/>
            <w:tcBorders>
              <w:top w:val="nil"/>
              <w:left w:val="nil"/>
              <w:bottom w:val="single" w:sz="4" w:space="0" w:color="auto"/>
              <w:right w:val="single" w:sz="4" w:space="0" w:color="auto"/>
            </w:tcBorders>
            <w:shd w:val="clear" w:color="auto" w:fill="auto"/>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r>
      <w:tr w:rsidR="003939A7" w:rsidRPr="003939A7" w:rsidTr="003939A7">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proofErr w:type="spellStart"/>
            <w:r w:rsidRPr="003939A7">
              <w:rPr>
                <w:rFonts w:ascii="Arial Cyr" w:eastAsia="Times New Roman" w:hAnsi="Arial Cyr" w:cs="Calibri"/>
                <w:sz w:val="20"/>
                <w:szCs w:val="20"/>
              </w:rPr>
              <w:t>ит</w:t>
            </w:r>
            <w:proofErr w:type="spellEnd"/>
            <w:r>
              <w:rPr>
                <w:rFonts w:eastAsia="Times New Roman" w:cs="Calibri"/>
                <w:sz w:val="20"/>
                <w:szCs w:val="20"/>
                <w:lang w:val="ky-KG"/>
              </w:rPr>
              <w:t>О</w:t>
            </w:r>
            <w:proofErr w:type="spellStart"/>
            <w:r w:rsidRPr="003939A7">
              <w:rPr>
                <w:rFonts w:ascii="Arial Cyr" w:eastAsia="Times New Roman" w:hAnsi="Arial Cyr" w:cs="Calibri"/>
                <w:sz w:val="20"/>
                <w:szCs w:val="20"/>
              </w:rPr>
              <w:t>го</w:t>
            </w:r>
            <w:proofErr w:type="spellEnd"/>
          </w:p>
        </w:tc>
        <w:tc>
          <w:tcPr>
            <w:tcW w:w="1984"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3939A7" w:rsidRPr="003939A7" w:rsidRDefault="003939A7" w:rsidP="003939A7">
            <w:pPr>
              <w:spacing w:after="0" w:line="240" w:lineRule="auto"/>
              <w:rPr>
                <w:rFonts w:ascii="Arial Cyr" w:eastAsia="Times New Roman" w:hAnsi="Arial Cyr" w:cs="Calibri"/>
                <w:sz w:val="20"/>
                <w:szCs w:val="20"/>
              </w:rPr>
            </w:pPr>
            <w:r w:rsidRPr="003939A7">
              <w:rPr>
                <w:rFonts w:ascii="Arial Cyr" w:eastAsia="Times New Roman" w:hAnsi="Arial Cyr" w:cs="Calibri"/>
                <w:sz w:val="20"/>
                <w:szCs w:val="20"/>
              </w:rPr>
              <w:t> </w:t>
            </w:r>
          </w:p>
        </w:tc>
      </w:tr>
    </w:tbl>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0A6DD4" w:rsidRPr="00255A74" w:rsidRDefault="000A6DD4" w:rsidP="000A6DD4">
      <w:pPr>
        <w:rPr>
          <w:b/>
          <w:sz w:val="28"/>
          <w:szCs w:val="28"/>
        </w:rPr>
      </w:pPr>
      <w:r w:rsidRPr="00255A74">
        <w:rPr>
          <w:b/>
          <w:sz w:val="28"/>
          <w:szCs w:val="28"/>
          <w:lang w:val="ky-KG"/>
        </w:rPr>
        <w:t>Всего выделяемая сумма на данную закупку</w:t>
      </w:r>
      <w:r w:rsidRPr="00255A74">
        <w:rPr>
          <w:b/>
          <w:sz w:val="28"/>
          <w:szCs w:val="28"/>
        </w:rPr>
        <w:t>:</w:t>
      </w:r>
      <w:r>
        <w:rPr>
          <w:b/>
          <w:sz w:val="28"/>
          <w:szCs w:val="28"/>
          <w:lang w:val="ky-KG"/>
        </w:rPr>
        <w:t>81000</w:t>
      </w:r>
      <w:r w:rsidRPr="00255A74">
        <w:rPr>
          <w:b/>
          <w:sz w:val="28"/>
          <w:szCs w:val="28"/>
        </w:rPr>
        <w:t>сомов</w:t>
      </w:r>
    </w:p>
    <w:p w:rsidR="000A6DD4" w:rsidRPr="00255A74" w:rsidRDefault="000A6DD4" w:rsidP="000A6DD4"/>
    <w:p w:rsidR="00DC2547" w:rsidRPr="000A6DD4" w:rsidRDefault="00DC2547" w:rsidP="00163ABC">
      <w:pPr>
        <w:spacing w:after="0"/>
        <w:rPr>
          <w:rFonts w:ascii="Times New Roman" w:hAnsi="Times New Roman" w:cs="Times New Roman"/>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sectPr w:rsidR="002E1A02" w:rsidSect="00B56947">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81E7E"/>
    <w:rsid w:val="000A6DD4"/>
    <w:rsid w:val="000C6282"/>
    <w:rsid w:val="000C734E"/>
    <w:rsid w:val="000F0F0A"/>
    <w:rsid w:val="000F138C"/>
    <w:rsid w:val="00102F7E"/>
    <w:rsid w:val="00106745"/>
    <w:rsid w:val="001207E3"/>
    <w:rsid w:val="001248EB"/>
    <w:rsid w:val="00146A95"/>
    <w:rsid w:val="00163ABC"/>
    <w:rsid w:val="00163F16"/>
    <w:rsid w:val="00165AA7"/>
    <w:rsid w:val="001F2DF3"/>
    <w:rsid w:val="00221F71"/>
    <w:rsid w:val="00245A25"/>
    <w:rsid w:val="00246622"/>
    <w:rsid w:val="00276EFC"/>
    <w:rsid w:val="002925B7"/>
    <w:rsid w:val="002C3717"/>
    <w:rsid w:val="002C7C2F"/>
    <w:rsid w:val="002E1A02"/>
    <w:rsid w:val="00324246"/>
    <w:rsid w:val="00325DB9"/>
    <w:rsid w:val="0034130A"/>
    <w:rsid w:val="0037017A"/>
    <w:rsid w:val="003939A7"/>
    <w:rsid w:val="003B72F1"/>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925EC"/>
    <w:rsid w:val="006C46AA"/>
    <w:rsid w:val="006F3976"/>
    <w:rsid w:val="00705CE3"/>
    <w:rsid w:val="00721C38"/>
    <w:rsid w:val="00730C93"/>
    <w:rsid w:val="00751516"/>
    <w:rsid w:val="0076207A"/>
    <w:rsid w:val="00775B6A"/>
    <w:rsid w:val="00792FB0"/>
    <w:rsid w:val="007A7700"/>
    <w:rsid w:val="007B23D1"/>
    <w:rsid w:val="00811271"/>
    <w:rsid w:val="00831C54"/>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31302"/>
    <w:rsid w:val="00B56947"/>
    <w:rsid w:val="00B81090"/>
    <w:rsid w:val="00BA427B"/>
    <w:rsid w:val="00BB291F"/>
    <w:rsid w:val="00BE724E"/>
    <w:rsid w:val="00BF39F5"/>
    <w:rsid w:val="00C017FB"/>
    <w:rsid w:val="00C5016E"/>
    <w:rsid w:val="00C54D6F"/>
    <w:rsid w:val="00C5700D"/>
    <w:rsid w:val="00C74A4E"/>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925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9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 w:id="1748460609">
      <w:bodyDiv w:val="1"/>
      <w:marLeft w:val="0"/>
      <w:marRight w:val="0"/>
      <w:marTop w:val="0"/>
      <w:marBottom w:val="0"/>
      <w:divBdr>
        <w:top w:val="none" w:sz="0" w:space="0" w:color="auto"/>
        <w:left w:val="none" w:sz="0" w:space="0" w:color="auto"/>
        <w:bottom w:val="none" w:sz="0" w:space="0" w:color="auto"/>
        <w:right w:val="none" w:sz="0" w:space="0" w:color="auto"/>
      </w:divBdr>
    </w:div>
    <w:div w:id="214480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1CF4B-B4D1-480A-B243-15AF519D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2110</Words>
  <Characters>12030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2022-08-25T09:03:00Z</cp:lastPrinted>
  <dcterms:created xsi:type="dcterms:W3CDTF">2022-08-08T03:38:00Z</dcterms:created>
  <dcterms:modified xsi:type="dcterms:W3CDTF">2022-09-06T09:08:00Z</dcterms:modified>
</cp:coreProperties>
</file>