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00cc"/>
          <w:sz w:val="24"/>
          <w:szCs w:val="24"/>
          <w:lang w:val="ky-kg"/>
        </w:rPr>
      </w:pPr>
      <w:r>
        <w:rPr>
          <w:rFonts w:eastAsia="Calibri"/>
          <w:b/>
          <w:color w:val="0000cc"/>
          <w:sz w:val="24"/>
          <w:szCs w:val="24"/>
        </w:rPr>
        <w:t>ПРИГЛАШЕНИЕ №</w:t>
      </w:r>
      <w:r>
        <w:rPr>
          <w:rFonts w:eastAsia="Calibri"/>
          <w:b/>
          <w:color w:val="0000cc"/>
          <w:sz w:val="24"/>
          <w:szCs w:val="24"/>
          <w:lang w:val="ky-kg"/>
        </w:rPr>
        <w:t>38</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lang w:val="ky-kg"/>
        </w:rPr>
      </w:pPr>
      <w:r>
        <w:rPr>
          <w:rFonts w:eastAsia="Calibri"/>
          <w:b/>
          <w:sz w:val="24"/>
          <w:szCs w:val="24"/>
        </w:rPr>
        <w:t xml:space="preserve">к участию в конкурсе </w:t>
      </w:r>
      <w:r>
        <w:rPr>
          <w:rFonts w:eastAsia="Calibri"/>
          <w:b/>
          <w:sz w:val="24"/>
          <w:szCs w:val="24"/>
          <w:lang w:val="ky-kg"/>
        </w:rPr>
        <w:t>с прямым заключением договора</w:t>
      </w:r>
    </w:p>
    <w:p>
      <w:pPr>
        <w:pStyle w:val="para4"/>
        <w:rPr>
          <w:rFonts w:ascii="Times New Roman" w:hAnsi="Times New Roman"/>
          <w:sz w:val="24"/>
          <w:szCs w:val="24"/>
        </w:rPr>
      </w:pPr>
      <w:r>
        <w:rPr>
          <w:rFonts w:ascii="Times New Roman" w:hAnsi="Times New Roman"/>
          <w:sz w:val="24"/>
          <w:szCs w:val="24"/>
        </w:rPr>
        <w:t>Дата: «</w:t>
      </w:r>
      <w:r>
        <w:rPr>
          <w:rFonts w:ascii="Times New Roman" w:hAnsi="Times New Roman"/>
          <w:sz w:val="24"/>
          <w:szCs w:val="24"/>
          <w:lang w:val="ky-kg"/>
        </w:rPr>
        <w:t>25</w:t>
      </w:r>
      <w:r>
        <w:rPr>
          <w:rFonts w:ascii="Times New Roman" w:hAnsi="Times New Roman"/>
          <w:sz w:val="24"/>
          <w:szCs w:val="24"/>
        </w:rPr>
        <w:t xml:space="preserve">» </w:t>
      </w:r>
      <w:r>
        <w:rPr>
          <w:rFonts w:ascii="Times New Roman" w:hAnsi="Times New Roman"/>
          <w:sz w:val="24"/>
          <w:szCs w:val="24"/>
          <w:lang w:val="ky-kg"/>
        </w:rPr>
        <w:t>ноября</w:t>
      </w:r>
      <w:r>
        <w:rPr>
          <w:rFonts w:ascii="Times New Roman" w:hAnsi="Times New Roman"/>
          <w:sz w:val="24"/>
          <w:szCs w:val="24"/>
        </w:rPr>
        <w:t xml:space="preserve"> </w:t>
      </w:r>
      <w:r>
        <w:rPr>
          <w:rFonts w:ascii="Times New Roman" w:hAnsi="Times New Roman"/>
          <w:color w:val="000000"/>
          <w:sz w:val="24"/>
          <w:szCs w:val="24"/>
        </w:rPr>
        <w:t>2023 г.</w:t>
      </w:r>
      <w:r>
        <w:rPr>
          <w:rFonts w:ascii="Times New Roman" w:hAnsi="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ind w:firstLine="426"/>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b/>
          <w:sz w:val="24"/>
          <w:szCs w:val="24"/>
        </w:rPr>
        <w:t xml:space="preserve">Филиал </w:t>
      </w:r>
      <w:r>
        <w:rPr>
          <w:rFonts w:eastAsia="Calibri"/>
          <w:b/>
          <w:sz w:val="24"/>
          <w:szCs w:val="24"/>
          <w:lang w:val="ky-kg"/>
        </w:rPr>
        <w:t xml:space="preserve">таш-Кумырское </w:t>
      </w:r>
      <w:r>
        <w:rPr>
          <w:rFonts w:eastAsia="Calibri"/>
          <w:b/>
          <w:sz w:val="24"/>
          <w:szCs w:val="24"/>
        </w:rPr>
        <w:t xml:space="preserve">предприятие теплоснабжения ГП «Кыргызтеплоэнерго» </w:t>
      </w:r>
      <w:r>
        <w:rPr>
          <w:rFonts w:eastAsia="Calibri"/>
          <w:sz w:val="24"/>
          <w:szCs w:val="24"/>
        </w:rPr>
        <w:t xml:space="preserve">приглашает правомочных поставщиков представить свои конкурсные заявки на </w:t>
      </w:r>
      <w:r>
        <w:rPr>
          <w:rFonts w:eastAsia="Calibri"/>
          <w:b/>
          <w:color w:val="0070c0"/>
          <w:sz w:val="24"/>
          <w:szCs w:val="24"/>
          <w:lang w:val="ky-kg"/>
        </w:rPr>
        <w:t xml:space="preserve">поставку материалов и товаров для строительства резервных линий объектов предприятия </w:t>
      </w:r>
      <w:r>
        <w:rPr>
          <w:rFonts w:eastAsia="Calibri"/>
          <w:color w:val="0000ff"/>
          <w:sz w:val="24"/>
          <w:szCs w:val="24"/>
        </w:rPr>
        <w:t xml:space="preserve">с работой </w:t>
      </w:r>
      <w:r>
        <w:rPr>
          <w:rFonts w:eastAsia="Calibri"/>
          <w:sz w:val="24"/>
          <w:szCs w:val="24"/>
        </w:rPr>
        <w:t>(далее Приглашение).</w:t>
      </w:r>
    </w:p>
    <w:p>
      <w:pPr>
        <w:ind w:firstLine="426"/>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eastAsia="Calibri"/>
          <w:b/>
          <w:sz w:val="24"/>
          <w:szCs w:val="24"/>
        </w:rPr>
        <w:t>в Требованиях к закупке (приложение 1,2,3 к Приглашению</w:t>
      </w:r>
      <w:r>
        <w:rPr>
          <w:rFonts w:eastAsia="Calibri"/>
          <w:sz w:val="24"/>
          <w:szCs w:val="24"/>
        </w:rPr>
        <w: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pStyle w:val="para5"/>
        <w:numPr>
          <w:ilvl w:val="0"/>
          <w:numId w:val="1"/>
        </w:numPr>
        <w:ind w:left="720" w:hanging="360"/>
      </w:pPr>
      <w:r>
        <w:t>Для участия в конкурсе необходимо:</w:t>
      </w:r>
    </w:p>
    <w:p>
      <w:pPr>
        <w:pStyle w:val="para5"/>
        <w:ind w:left="720"/>
      </w:pPr>
      <w:r/>
    </w:p>
    <w:tbl>
      <w:tblPr>
        <w:tblStyle w:val="TableNormal"/>
        <w:name w:val="Таблица1"/>
        <w:tabOrder w:val="0"/>
        <w:jc w:val="left"/>
        <w:tblInd w:w="-5" w:type="dxa"/>
        <w:tblW w:w="10065" w:type="dxa"/>
        <w:tblLook w:val="0600" w:firstRow="0" w:lastRow="0" w:firstColumn="0" w:lastColumn="0" w:noHBand="1" w:noVBand="1"/>
      </w:tblPr>
      <w:tblGrid>
        <w:gridCol w:w="3686"/>
        <w:gridCol w:w="2722"/>
        <w:gridCol w:w="3657"/>
      </w:tblGrid>
      <w:tr>
        <w:trPr>
          <w:tblHeader w:val="0"/>
          <w:cantSplit w:val="0"/>
          <w:trHeight w:val="1036" w:hRule="atLeast"/>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Подать конкурсную заявку</w:t>
            </w:r>
          </w:p>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rPr>
            </w:pPr>
            <w:r>
              <w:rPr>
                <w:rFonts w:eastAsia="Calibri"/>
                <w:color w:val="0070c0"/>
                <w:sz w:val="24"/>
                <w:szCs w:val="24"/>
              </w:rPr>
              <w:t>в электронном виде согласно Конкурсного торга (приложение 1)с установлением пароля доступа</w:t>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 эл. адресу:</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hyperlink r:id="rId8" w:history="1">
              <w:r>
                <w:rPr>
                  <w:rStyle w:val="char1"/>
                  <w:rFonts w:ascii="Arial" w:hAnsi="Arial" w:cs="Arial"/>
                  <w:b/>
                  <w:sz w:val="21"/>
                  <w:szCs w:val="21"/>
                  <w:shd w:val="clear" w:fill="ffffff"/>
                  <w:lang w:val="en-us"/>
                </w:rPr>
                <w:t>tkfpts</w:t>
              </w:r>
              <w:r>
                <w:rPr>
                  <w:rStyle w:val="char1"/>
                  <w:rFonts w:ascii="Arial" w:hAnsi="Arial" w:cs="Arial"/>
                  <w:b/>
                  <w:sz w:val="21"/>
                  <w:szCs w:val="21"/>
                  <w:shd w:val="clear" w:fill="ffffff"/>
                </w:rPr>
                <w:t>_</w:t>
              </w:r>
              <w:r>
                <w:rPr>
                  <w:rStyle w:val="char1"/>
                  <w:rFonts w:ascii="Arial" w:hAnsi="Arial" w:cs="Arial"/>
                  <w:b/>
                  <w:sz w:val="21"/>
                  <w:szCs w:val="21"/>
                  <w:shd w:val="clear" w:fill="ffffff"/>
                  <w:lang w:val="en-us"/>
                </w:rPr>
                <w:t>zakup</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mail</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ru</w:t>
              </w:r>
            </w:hyperlink>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Дата окончания приема конкурсных заявок:</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27.11.2023г. </w:t>
            </w:r>
            <w:r>
              <w:rPr>
                <w:rFonts w:eastAsia="Calibri"/>
                <w:b/>
                <w:color w:val="0070c0"/>
                <w:sz w:val="24"/>
                <w:szCs w:val="24"/>
                <w:lang w:val="ky-kg"/>
              </w:rPr>
              <w:t>10</w:t>
            </w:r>
            <w:r>
              <w:rPr>
                <w:rFonts w:eastAsia="Calibri"/>
                <w:b/>
                <w:color w:val="0070c0"/>
                <w:sz w:val="24"/>
                <w:szCs w:val="24"/>
              </w:rPr>
              <w:t>:</w:t>
            </w:r>
            <w:r>
              <w:rPr>
                <w:rFonts w:eastAsia="Calibri"/>
                <w:b/>
                <w:color w:val="0070c0"/>
                <w:sz w:val="24"/>
                <w:szCs w:val="24"/>
                <w:lang w:val="en-us"/>
              </w:rPr>
              <w:t>00</w:t>
            </w:r>
            <w:r>
              <w:rPr>
                <w:rFonts w:eastAsia="Calibri"/>
                <w:b/>
                <w:color w:val="0070c0"/>
                <w:sz w:val="24"/>
                <w:szCs w:val="24"/>
              </w:rPr>
              <w:t xml:space="preserve"> часов </w:t>
            </w:r>
          </w:p>
        </w:tc>
      </w:tr>
      <w:tr>
        <w:trPr>
          <w:tblHeader w:val="0"/>
          <w:cantSplit w:val="0"/>
          <w:trHeight w:val="0" w:hRule="auto"/>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Направить пароль </w:t>
            </w:r>
            <w:r>
              <w:rPr>
                <w:rFonts w:eastAsia="Calibri"/>
                <w:color w:val="0070c0"/>
                <w:sz w:val="24"/>
                <w:szCs w:val="24"/>
              </w:rPr>
              <w:t>для доступа к конкурсной заявке</w:t>
            </w:r>
            <w:r>
              <w:rPr>
                <w:rFonts w:eastAsia="Calibri"/>
                <w:b/>
                <w:color w:val="0070c0"/>
                <w:sz w:val="24"/>
                <w:szCs w:val="24"/>
              </w:rPr>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 электронному адресу:</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hyperlink r:id="rId8" w:history="1">
              <w:r>
                <w:rPr>
                  <w:rStyle w:val="char1"/>
                  <w:rFonts w:ascii="Arial" w:hAnsi="Arial" w:cs="Arial"/>
                  <w:b/>
                  <w:sz w:val="21"/>
                  <w:szCs w:val="21"/>
                  <w:shd w:val="clear" w:fill="ffffff"/>
                  <w:lang w:val="en-us"/>
                </w:rPr>
                <w:t>tkfpts</w:t>
              </w:r>
              <w:r>
                <w:rPr>
                  <w:rStyle w:val="char1"/>
                  <w:rFonts w:ascii="Arial" w:hAnsi="Arial" w:cs="Arial"/>
                  <w:b/>
                  <w:sz w:val="21"/>
                  <w:szCs w:val="21"/>
                  <w:shd w:val="clear" w:fill="ffffff"/>
                </w:rPr>
                <w:t>_</w:t>
              </w:r>
              <w:r>
                <w:rPr>
                  <w:rStyle w:val="char1"/>
                  <w:rFonts w:ascii="Arial" w:hAnsi="Arial" w:cs="Arial"/>
                  <w:b/>
                  <w:sz w:val="21"/>
                  <w:szCs w:val="21"/>
                  <w:shd w:val="clear" w:fill="ffffff"/>
                  <w:lang w:val="en-us"/>
                </w:rPr>
                <w:t>zakup</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mail</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ru</w:t>
              </w:r>
            </w:hyperlink>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Дата окончания приема паролей к конкурсным заявкам:</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27.11.2023г.  до </w:t>
            </w:r>
            <w:r>
              <w:rPr>
                <w:rFonts w:eastAsia="Calibri"/>
                <w:b/>
                <w:color w:val="0070c0"/>
                <w:sz w:val="24"/>
                <w:szCs w:val="24"/>
                <w:lang w:val="ky-kg"/>
              </w:rPr>
              <w:t>09</w:t>
            </w:r>
            <w:r>
              <w:rPr>
                <w:rFonts w:eastAsia="Calibri"/>
                <w:b/>
                <w:color w:val="0070c0"/>
                <w:sz w:val="24"/>
                <w:szCs w:val="24"/>
              </w:rPr>
              <w:t xml:space="preserve">:00 </w:t>
            </w:r>
          </w:p>
        </w:tc>
      </w:tr>
      <w:tr>
        <w:trPr>
          <w:tblHeader w:val="0"/>
          <w:cantSplit w:val="0"/>
          <w:trHeight w:val="175" w:hRule="atLeast"/>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ind w:left="-57" w:right="-57"/>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t>Вскрытие конкурсных заявок состоится:</w:t>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lang w:val="ky-kg"/>
              </w:rPr>
            </w:pPr>
            <w:r>
              <w:rPr>
                <w:rFonts w:eastAsia="Calibri"/>
                <w:sz w:val="24"/>
                <w:szCs w:val="24"/>
              </w:rPr>
              <w:t>по адресу: г.</w:t>
            </w:r>
            <w:r>
              <w:rPr>
                <w:rFonts w:eastAsia="Calibri"/>
                <w:sz w:val="24"/>
                <w:szCs w:val="24"/>
                <w:lang w:val="ky-kg"/>
              </w:rPr>
              <w:t>Таш-Кумыр, ул.Чыныбаева 111А</w:t>
            </w:r>
            <w:r>
              <w:rPr>
                <w:rFonts w:eastAsia="Calibri"/>
                <w:sz w:val="24"/>
                <w:szCs w:val="24"/>
                <w:lang w:val="ky-kg"/>
              </w:rPr>
            </w:r>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4"/>
                <w:szCs w:val="24"/>
                <w:u w:color="auto" w:val="single"/>
              </w:rPr>
            </w:pPr>
            <w:r>
              <w:rPr>
                <w:rFonts w:eastAsia="Calibri"/>
                <w:b/>
                <w:i/>
                <w:sz w:val="24"/>
                <w:szCs w:val="24"/>
              </w:rPr>
              <w:t>ДАТА и Время вскрытия конкурсных заявок: 27.11.2023 г. в 1</w:t>
            </w:r>
            <w:r>
              <w:rPr>
                <w:rFonts w:eastAsia="Calibri"/>
                <w:b/>
                <w:i/>
                <w:sz w:val="24"/>
                <w:szCs w:val="24"/>
                <w:lang w:val="ky-kg"/>
              </w:rPr>
              <w:t>0</w:t>
            </w:r>
            <w:r>
              <w:rPr>
                <w:rFonts w:eastAsia="Calibri"/>
                <w:b/>
                <w:i/>
                <w:sz w:val="24"/>
                <w:szCs w:val="24"/>
              </w:rPr>
              <w:t>:00</w:t>
            </w:r>
            <w:r>
              <w:rPr>
                <w:rFonts w:eastAsia="Calibri"/>
                <w:i/>
                <w:sz w:val="24"/>
                <w:szCs w:val="24"/>
                <w:u w:color="auto" w:val="single"/>
              </w:rPr>
            </w:r>
          </w:p>
        </w:tc>
      </w:tr>
    </w:tbl>
    <w:p>
      <w:pPr>
        <w:tabs defTabSz="720">
          <w:tab w:val="left" w:pos="851"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pStyle w:val="para5"/>
        <w:numPr>
          <w:ilvl w:val="0"/>
          <w:numId w:val="1"/>
        </w:numPr>
        <w:ind w:left="0" w:firstLine="567"/>
        <w:spacing/>
        <w:jc w:val="both"/>
        <w:widowControl/>
        <w:tabs defTabSz="720">
          <w:tab w:val="left" w:pos="851" w:leader="none"/>
          <w:tab w:val="left" w:pos="993" w:leader="none"/>
        </w:tabs>
      </w:pPr>
      <w:r>
        <w:t>При наличии вопросов по настоящему Приглашению поставщик может обратиться по электронному адресу:</w:t>
      </w:r>
      <w:r>
        <w:rPr>
          <w:b/>
          <w:color w:val="0070c0"/>
        </w:rPr>
        <w:t xml:space="preserve"> </w:t>
      </w:r>
      <w:hyperlink r:id="rId8" w:history="1">
        <w:r>
          <w:rPr>
            <w:rStyle w:val="char1"/>
            <w:rFonts w:ascii="Arial" w:hAnsi="Arial" w:eastAsia="Times New Roman" w:cs="Arial"/>
            <w:b/>
            <w:sz w:val="21"/>
            <w:szCs w:val="21"/>
            <w:shd w:val="clear" w:fill="ffffff"/>
            <w:lang w:val="en-us"/>
          </w:rPr>
          <w:t>tkfpts</w:t>
        </w:r>
        <w:r>
          <w:rPr>
            <w:rStyle w:val="char1"/>
            <w:rFonts w:ascii="Arial" w:hAnsi="Arial" w:eastAsia="Times New Roman" w:cs="Arial"/>
            <w:b/>
            <w:sz w:val="21"/>
            <w:szCs w:val="21"/>
            <w:shd w:val="clear" w:fill="ffffff"/>
          </w:rPr>
          <w:t>_</w:t>
        </w:r>
        <w:r>
          <w:rPr>
            <w:rStyle w:val="char1"/>
            <w:rFonts w:ascii="Arial" w:hAnsi="Arial" w:eastAsia="Times New Roman" w:cs="Arial"/>
            <w:b/>
            <w:sz w:val="21"/>
            <w:szCs w:val="21"/>
            <w:shd w:val="clear" w:fill="ffffff"/>
            <w:lang w:val="en-us"/>
          </w:rPr>
          <w:t>zakup</w:t>
        </w:r>
        <w:r>
          <w:rPr>
            <w:rStyle w:val="char1"/>
            <w:rFonts w:ascii="Arial" w:hAnsi="Arial" w:eastAsia="Times New Roman" w:cs="Arial"/>
            <w:b/>
            <w:sz w:val="21"/>
            <w:szCs w:val="21"/>
            <w:shd w:val="clear" w:fill="ffffff"/>
          </w:rPr>
          <w:t>@</w:t>
        </w:r>
        <w:r>
          <w:rPr>
            <w:rStyle w:val="char1"/>
            <w:rFonts w:ascii="Arial" w:hAnsi="Arial" w:eastAsia="Times New Roman" w:cs="Arial"/>
            <w:b/>
            <w:sz w:val="21"/>
            <w:szCs w:val="21"/>
            <w:shd w:val="clear" w:fill="ffffff"/>
            <w:lang w:val="en-us"/>
          </w:rPr>
          <w:t>mail</w:t>
        </w:r>
        <w:r>
          <w:rPr>
            <w:rStyle w:val="char1"/>
            <w:rFonts w:ascii="Arial" w:hAnsi="Arial" w:eastAsia="Times New Roman" w:cs="Arial"/>
            <w:b/>
            <w:sz w:val="21"/>
            <w:szCs w:val="21"/>
            <w:shd w:val="clear" w:fill="ffffff"/>
          </w:rPr>
          <w:t>.</w:t>
        </w:r>
        <w:r>
          <w:rPr>
            <w:rStyle w:val="char1"/>
            <w:rFonts w:ascii="Arial" w:hAnsi="Arial" w:eastAsia="Times New Roman" w:cs="Arial"/>
            <w:b/>
            <w:sz w:val="21"/>
            <w:szCs w:val="21"/>
            <w:shd w:val="clear" w:fill="ffffff"/>
            <w:lang w:val="en-us"/>
          </w:rPr>
          <w:t>ru</w:t>
        </w:r>
      </w:hyperlink>
      <w: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pPr>
        <w:pStyle w:val="para6"/>
        <w:numPr>
          <w:ilvl w:val="0"/>
          <w:numId w:val="1"/>
        </w:numPr>
        <w:ind w:left="0" w:firstLine="567"/>
        <w:widowControl/>
        <w:tabs defTabSz="720">
          <w:tab w:val="left" w:pos="851" w:leader="none"/>
          <w:tab w:val="left" w:pos="993" w:leader="none"/>
        </w:tabs>
        <w:rPr>
          <w:rFonts w:ascii="Times New Roman" w:hAnsi="Times New Roman" w:cs="Times New Roman"/>
          <w:sz w:val="24"/>
          <w:szCs w:val="24"/>
        </w:rPr>
      </w:pPr>
      <w:r/>
      <w:bookmarkStart w:id="0" w:name="_Toc409422004"/>
      <w:r/>
      <w:r>
        <w:rPr>
          <w:rFonts w:ascii="Times New Roman" w:hAnsi="Times New Roman" w:eastAsia="Calibri"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r/>
      <w:bookmarkEnd w:id="0"/>
      <w:r/>
      <w:r>
        <w:rPr>
          <w:rFonts w:ascii="Times New Roman" w:hAnsi="Times New Roman" w:cs="Times New Roman"/>
          <w:sz w:val="24"/>
          <w:szCs w:val="24"/>
        </w:rPr>
      </w:r>
    </w:p>
    <w:p>
      <w:pPr>
        <w:pStyle w:val="para5"/>
        <w:numPr>
          <w:ilvl w:val="0"/>
          <w:numId w:val="1"/>
        </w:numPr>
        <w:ind w:left="0" w:firstLine="567"/>
        <w:spacing/>
        <w:jc w:val="both"/>
        <w:tabs defTabSz="720">
          <w:tab w:val="left" w:pos="851" w:leader="none"/>
          <w:tab w:val="left" w:pos="993" w:leader="none"/>
        </w:tabs>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pPr>
        <w:pStyle w:val="para5"/>
        <w:numPr>
          <w:ilvl w:val="0"/>
          <w:numId w:val="1"/>
        </w:numPr>
        <w:ind w:left="0" w:firstLine="567"/>
        <w:spacing/>
        <w:jc w:val="both"/>
        <w:widowControl/>
        <w:tabs defTabSz="720">
          <w:tab w:val="left" w:pos="851" w:leader="none"/>
          <w:tab w:val="left" w:pos="993" w:leader="none"/>
        </w:tabs>
      </w:pPr>
      <w:r>
        <w:rPr>
          <w:b/>
        </w:rPr>
        <w:t xml:space="preserve">Порядок подачи конкурсной заявки.  </w:t>
      </w:r>
      <w:r>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pPr>
        <w:pStyle w:val="para5"/>
        <w:ind w:left="567"/>
        <w:spacing/>
        <w:jc w:val="both"/>
        <w:widowControl/>
        <w:tabs defTabSz="720">
          <w:tab w:val="left" w:pos="851" w:leader="none"/>
          <w:tab w:val="left" w:pos="993" w:leader="none"/>
        </w:tabs>
      </w:pPr>
      <w:r>
        <w:t xml:space="preserve"> Каждый участник конкурса может подать только одну конкурсную заявку.</w:t>
      </w:r>
    </w:p>
    <w:p>
      <w:pPr>
        <w:pStyle w:val="para5"/>
        <w:numPr>
          <w:ilvl w:val="0"/>
          <w:numId w:val="1"/>
        </w:numPr>
        <w:ind w:left="0" w:firstLine="567"/>
        <w:spacing/>
        <w:jc w:val="both"/>
        <w:widowControl/>
        <w:tabs defTabSz="720">
          <w:tab w:val="left" w:pos="851" w:leader="none"/>
          <w:tab w:val="left" w:pos="993" w:leader="none"/>
        </w:tabs>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pPr>
        <w:pStyle w:val="para5"/>
        <w:ind w:left="720"/>
        <w:spacing/>
        <w:jc w:val="both"/>
        <w:widowControl/>
        <w:tabs defTabSz="720">
          <w:tab w:val="left" w:pos="851" w:leader="none"/>
          <w:tab w:val="left" w:pos="993" w:leader="none"/>
        </w:tabs>
      </w:pPr>
      <w:r>
        <w:t>ГОКЗ вносится в размере и форме, предусмотренных в конкурсной документации.</w:t>
      </w:r>
    </w:p>
    <w:p>
      <w:pPr>
        <w:pStyle w:val="para5"/>
        <w:ind w:left="720"/>
        <w:spacing/>
        <w:jc w:val="both"/>
        <w:widowControl/>
        <w:tabs defTabSz="720">
          <w:tab w:val="left" w:pos="851" w:leader="none"/>
          <w:tab w:val="left" w:pos="993" w:leader="none"/>
        </w:tabs>
      </w:pPr>
      <w:r>
        <w:t>ГОКЗ возвращается не позднее трех рабочих дней в случаях:</w:t>
      </w:r>
    </w:p>
    <w:p>
      <w:pPr>
        <w:pStyle w:val="para5"/>
        <w:ind w:left="720"/>
        <w:spacing/>
        <w:jc w:val="both"/>
        <w:widowControl/>
        <w:tabs defTabSz="720">
          <w:tab w:val="left" w:pos="851" w:leader="none"/>
          <w:tab w:val="left" w:pos="993" w:leader="none"/>
        </w:tabs>
      </w:pPr>
      <w:r>
        <w:t>1) истечения срока действия конкурсной заявки, указанного в конкурсной документации;</w:t>
      </w:r>
    </w:p>
    <w:p>
      <w:pPr>
        <w:pStyle w:val="para5"/>
        <w:ind w:left="720"/>
        <w:spacing/>
        <w:jc w:val="both"/>
        <w:widowControl/>
        <w:tabs defTabSz="720">
          <w:tab w:val="left" w:pos="851" w:leader="none"/>
          <w:tab w:val="left" w:pos="993" w:leader="none"/>
        </w:tabs>
      </w:pPr>
      <w:r>
        <w:t>2) отзыва конкурсной заявки до истечения окончательного срока представления конкурсных заявок;</w:t>
      </w:r>
    </w:p>
    <w:p>
      <w:pPr>
        <w:pStyle w:val="para5"/>
        <w:ind w:left="720"/>
        <w:spacing/>
        <w:jc w:val="both"/>
        <w:widowControl/>
        <w:tabs defTabSz="720">
          <w:tab w:val="left" w:pos="851" w:leader="none"/>
          <w:tab w:val="left" w:pos="993" w:leader="none"/>
        </w:tabs>
      </w:pPr>
      <w:r>
        <w:t>3) прекращения процедур закупок без заключения договора.</w:t>
      </w:r>
    </w:p>
    <w:p>
      <w:pPr>
        <w:pStyle w:val="para5"/>
        <w:ind w:left="720"/>
        <w:spacing/>
        <w:jc w:val="both"/>
        <w:widowControl/>
        <w:tabs defTabSz="720">
          <w:tab w:val="left" w:pos="851" w:leader="none"/>
          <w:tab w:val="left" w:pos="993" w:leader="none"/>
        </w:tabs>
      </w:pPr>
      <w:r>
        <w:t>5. Гарантийное обеспечение конкурсной заявки закупающей организацией удерживается в случаях:</w:t>
      </w:r>
    </w:p>
    <w:p>
      <w:pPr>
        <w:pStyle w:val="para5"/>
        <w:ind w:left="720"/>
        <w:spacing/>
        <w:jc w:val="both"/>
        <w:widowControl/>
        <w:tabs defTabSz="720">
          <w:tab w:val="left" w:pos="851" w:leader="none"/>
          <w:tab w:val="left" w:pos="993" w:leader="none"/>
        </w:tabs>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pPr>
        <w:pStyle w:val="para5"/>
        <w:ind w:left="720"/>
        <w:spacing/>
        <w:jc w:val="both"/>
        <w:widowControl/>
        <w:tabs defTabSz="720">
          <w:tab w:val="left" w:pos="851" w:leader="none"/>
          <w:tab w:val="left" w:pos="993" w:leader="none"/>
        </w:tabs>
      </w:pPr>
      <w:r>
        <w:t>2) отзыва конкурсной заявки после ее вскрытия и до истечения срока ее действия;</w:t>
      </w:r>
    </w:p>
    <w:p>
      <w:pPr>
        <w:pStyle w:val="para5"/>
        <w:ind w:left="720"/>
        <w:spacing/>
        <w:jc w:val="both"/>
        <w:widowControl/>
        <w:tabs defTabSz="720">
          <w:tab w:val="left" w:pos="851" w:leader="none"/>
          <w:tab w:val="left" w:pos="993" w:leader="none"/>
        </w:tabs>
      </w:pPr>
      <w:r>
        <w:t>3) изменения условий конкурсной заявки после вскрытия конвертов с конкурсными заявками.</w:t>
      </w:r>
    </w:p>
    <w:p>
      <w:pPr>
        <w:pStyle w:val="para5"/>
        <w:numPr>
          <w:ilvl w:val="0"/>
          <w:numId w:val="1"/>
        </w:numPr>
        <w:ind w:left="0" w:firstLine="567"/>
        <w:spacing/>
        <w:jc w:val="both"/>
        <w:tabs defTabSz="720">
          <w:tab w:val="left" w:pos="851" w:leader="none"/>
          <w:tab w:val="left" w:pos="993" w:leader="none"/>
        </w:tabs>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pPr>
        <w:ind w:firstLine="567"/>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b/>
          <w:sz w:val="24"/>
          <w:szCs w:val="24"/>
          <w:u w:color="auto"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r>
        <w:rPr>
          <w:rFonts w:eastAsia="Calibri"/>
          <w:sz w:val="24"/>
          <w:szCs w:val="24"/>
        </w:rPr>
      </w:r>
    </w:p>
    <w:p>
      <w:pPr>
        <w:pStyle w:val="para5"/>
        <w:ind w:left="567"/>
        <w:widowControl/>
        <w:tabs defTabSz="720">
          <w:tab w:val="left" w:pos="851" w:leader="none"/>
        </w:tabs>
        <w:rPr>
          <w:b/>
          <w:color w:val="0070c0"/>
        </w:rPr>
      </w:pPr>
      <w:r>
        <w:rPr>
          <w:b/>
          <w:color w:val="0070c0"/>
        </w:rPr>
        <w:t>Не допускается внесение изменений в конкурсные заявки после истечения срока их подачи.</w:t>
      </w:r>
    </w:p>
    <w:p>
      <w:pPr>
        <w:pStyle w:val="para5"/>
        <w:numPr>
          <w:ilvl w:val="0"/>
          <w:numId w:val="1"/>
        </w:numPr>
        <w:ind w:left="0" w:firstLine="567"/>
        <w:widowControl/>
        <w:tabs defTabSz="720">
          <w:tab w:val="left" w:pos="851" w:leader="none"/>
        </w:tabs>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pPr>
        <w:pStyle w:val="para5"/>
        <w:numPr>
          <w:ilvl w:val="0"/>
          <w:numId w:val="1"/>
        </w:numPr>
        <w:ind w:left="0" w:firstLine="567"/>
        <w:spacing/>
        <w:jc w:val="both"/>
        <w:widowControl/>
        <w:tabs defTabSz="720">
          <w:tab w:val="left" w:pos="851" w:leader="none"/>
        </w:tabs>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pPr>
        <w:pStyle w:val="para5"/>
        <w:numPr>
          <w:ilvl w:val="0"/>
          <w:numId w:val="1"/>
        </w:numPr>
        <w:ind w:left="0" w:firstLine="567"/>
        <w:spacing/>
        <w:jc w:val="both"/>
        <w:widowControl/>
        <w:tabs defTabSz="720">
          <w:tab w:val="left" w:pos="851" w:leader="none"/>
        </w:tabs>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r>
        <w:rPr>
          <w:b/>
        </w:rPr>
      </w:r>
    </w:p>
    <w:p>
      <w:pPr>
        <w:pStyle w:val="para5"/>
        <w:ind w:left="0" w:firstLine="567"/>
        <w:spacing/>
        <w:jc w:val="both"/>
        <w:widowControl/>
      </w:pPr>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pPr>
        <w:pStyle w:val="para5"/>
        <w:numPr>
          <w:ilvl w:val="0"/>
          <w:numId w:val="1"/>
        </w:numPr>
        <w:ind w:left="0" w:firstLine="567"/>
        <w:widowControl/>
        <w:tabs defTabSz="720">
          <w:tab w:val="left" w:pos="851" w:leader="none"/>
          <w:tab w:val="left" w:pos="1134" w:leader="none"/>
        </w:tabs>
      </w:pPr>
      <w:r>
        <w:rPr>
          <w:u w:color="auto" w:val="single"/>
        </w:rPr>
        <w:t>Закупающая организация отклоняет конкурсную заявку в случаях, если</w:t>
      </w:r>
      <w:r>
        <w:t>:</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конкурсная заявка по существу не отвечает требованиям, установленным в Требованиях к закупке (приложение 1 к Приглашению);</w:t>
      </w:r>
    </w:p>
    <w:p>
      <w:pPr>
        <w:ind w:firstLine="567"/>
        <w:spacing/>
        <w:contextual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поставщик представил более одной конкурсной заявки;</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поставщик не предоставил гарантийное обеспечение конкурсной заявки;</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цена конкурсной заявки превышает планируемую сумму закупки;</w:t>
      </w:r>
    </w:p>
    <w:p>
      <w:pPr>
        <w:pStyle w:val="para5"/>
        <w:numPr>
          <w:ilvl w:val="0"/>
          <w:numId w:val="1"/>
        </w:numPr>
        <w:ind w:left="0" w:firstLine="567"/>
        <w:spacing/>
        <w:contextualSpacing/>
        <w:jc w:val="both"/>
        <w:tabs defTabSz="720">
          <w:tab w:val="left" w:pos="993" w:leader="none"/>
        </w:tabs>
      </w:pPr>
      <w:r>
        <w:rPr>
          <w:u w:color="auto"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pPr>
        <w:pStyle w:val="para5"/>
        <w:numPr>
          <w:ilvl w:val="0"/>
          <w:numId w:val="1"/>
        </w:numPr>
        <w:ind w:left="0" w:firstLine="567"/>
        <w:spacing/>
        <w:contextualSpacing/>
        <w:jc w:val="both"/>
        <w:tabs defTabSz="720">
          <w:tab w:val="left" w:pos="993" w:leader="none"/>
        </w:tabs>
      </w:pPr>
      <w:r>
        <w:rPr>
          <w:u w:color="auto"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pPr>
        <w:pStyle w:val="para5"/>
        <w:numPr>
          <w:ilvl w:val="0"/>
          <w:numId w:val="1"/>
        </w:numPr>
        <w:ind w:left="0" w:firstLine="567"/>
        <w:spacing/>
        <w:jc w:val="both"/>
        <w:widowControl/>
        <w:tabs defTabSz="720">
          <w:tab w:val="left" w:pos="993" w:leader="none"/>
        </w:tabs>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pPr>
        <w:pStyle w:val="para5"/>
        <w:numPr>
          <w:ilvl w:val="0"/>
          <w:numId w:val="1"/>
        </w:numPr>
        <w:ind w:left="0" w:firstLine="567"/>
        <w:spacing/>
        <w:contextualSpacing/>
        <w:jc w:val="both"/>
        <w:tabs defTabSz="720">
          <w:tab w:val="left" w:pos="993" w:leader="none"/>
        </w:tabs>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pPr>
        <w:pStyle w:val="para5"/>
        <w:numPr>
          <w:ilvl w:val="0"/>
          <w:numId w:val="1"/>
        </w:numPr>
        <w:ind w:left="0" w:firstLine="567"/>
        <w:spacing/>
        <w:contextualSpacing/>
        <w:jc w:val="both"/>
        <w:tabs defTabSz="720">
          <w:tab w:val="left" w:pos="993" w:leader="none"/>
        </w:tabs>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pPr>
        <w:pStyle w:val="para5"/>
        <w:numPr>
          <w:ilvl w:val="0"/>
          <w:numId w:val="1"/>
        </w:numPr>
        <w:ind w:left="142" w:firstLine="567"/>
        <w:spacing w:line="257" w:lineRule="auto"/>
        <w:jc w:val="both"/>
        <w:widowControl/>
        <w:tabs defTabSz="720">
          <w:tab w:val="left" w:pos="993" w:leader="none"/>
        </w:tabs>
        <w:rPr>
          <w:rFonts w:eastAsia="Calibri"/>
        </w:rPr>
      </w:pPr>
      <w:r>
        <w:rPr>
          <w:rFonts w:eastAsia="Calibr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pPr>
        <w:pStyle w:val="para5"/>
        <w:ind w:left="567"/>
        <w:spacing w:line="257" w:lineRule="auto"/>
        <w:jc w:val="both"/>
        <w:widowControl/>
        <w:tabs defTabSz="720">
          <w:tab w:val="left" w:pos="993" w:leader="none"/>
        </w:tabs>
        <w:rPr>
          <w:rFonts w:eastAsia="Calibri"/>
        </w:rPr>
      </w:pPr>
      <w:r>
        <w:rPr>
          <w:rFonts w:eastAsia="Calibri"/>
        </w:rPr>
        <w:t>Приложение:</w:t>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Конкурсный торг - </w:t>
      </w:r>
      <w:r>
        <w:t>Приложение №1</w:t>
      </w:r>
      <w:r>
        <w:rPr>
          <w:rFonts w:eastAsia="Calibri"/>
        </w:rPr>
        <w:t>;</w:t>
      </w:r>
      <w:r>
        <w:rPr>
          <w:rFonts w:eastAsia="Calibri"/>
        </w:rPr>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Форма конкурсной заявки - </w:t>
      </w:r>
      <w:r>
        <w:t>Приложение №2</w:t>
      </w:r>
      <w:r>
        <w:rPr>
          <w:rFonts w:eastAsia="Calibri"/>
        </w:rPr>
        <w:t>;</w:t>
      </w:r>
      <w:r>
        <w:rPr>
          <w:rFonts w:eastAsia="Calibri"/>
        </w:rPr>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Таблица цен (тех.задание, тех.спецификация) - </w:t>
      </w:r>
      <w:r>
        <w:t>Приложение №3</w:t>
      </w:r>
      <w:r>
        <w:rPr>
          <w:rFonts w:eastAsia="Calibri"/>
        </w:rPr>
        <w:t>.</w:t>
      </w:r>
      <w:r>
        <w:rPr>
          <w:rFonts w:eastAsia="Calibri"/>
        </w:rPr>
      </w:r>
    </w:p>
    <w:p>
      <w:pPr>
        <w:spacing/>
        <w:jc w:val="both"/>
        <w:widowControl/>
        <w:tabs defTabSz="720">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jc w:val="both"/>
        <w:widowControl/>
        <w:tabs defTabSz="720">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24"/>
          <w:szCs w:val="24"/>
        </w:rPr>
      </w:pPr>
      <w:r>
        <w:rPr>
          <w:rFonts w:ascii="Tahoma" w:hAnsi="Tahoma" w:eastAsia="Calibri" w:cs="Tahoma"/>
          <w:b/>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rPr>
      </w:pPr>
      <w:r>
        <w:rPr>
          <w:rFonts w:eastAsia="Calibri"/>
          <w:color w:val="0070c0"/>
          <w:sz w:val="24"/>
          <w:szCs w:val="24"/>
        </w:rPr>
        <w:t>Конкурсный Торг №</w:t>
      </w:r>
      <w:r>
        <w:rPr>
          <w:rFonts w:eastAsia="Calibri"/>
          <w:color w:val="0070c0"/>
          <w:sz w:val="24"/>
          <w:szCs w:val="24"/>
          <w:lang w:val="ky-kg"/>
        </w:rPr>
        <w:t>38</w:t>
      </w:r>
      <w:r>
        <w:rPr>
          <w:rFonts w:eastAsia="Calibri"/>
          <w:color w:val="0070c0"/>
          <w:sz w:val="24"/>
          <w:szCs w:val="24"/>
        </w:rPr>
        <w:t xml:space="preserve">                                         </w:t>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lang w:val="ky-kg"/>
        </w:rPr>
      </w:pPr>
      <w:r>
        <w:rPr>
          <w:rFonts w:eastAsia="Calibri"/>
          <w:color w:val="0070c0"/>
          <w:sz w:val="24"/>
          <w:szCs w:val="24"/>
        </w:rPr>
        <w:t xml:space="preserve">    Филиал «</w:t>
      </w:r>
      <w:r>
        <w:rPr>
          <w:rFonts w:eastAsia="Calibri"/>
          <w:color w:val="0070c0"/>
          <w:sz w:val="24"/>
          <w:szCs w:val="24"/>
          <w:lang w:val="ky-kg"/>
        </w:rPr>
        <w:t>Таш-кумырское предприятие теплоснабжения” ГП “Кыргызжылуулукэнерго”</w:t>
      </w:r>
      <w:r>
        <w:rPr>
          <w:rFonts w:eastAsia="Calibri"/>
          <w:color w:val="0070c0"/>
          <w:sz w:val="24"/>
          <w:szCs w:val="24"/>
          <w:lang w:val="ky-kg"/>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xml:space="preserve">                                                                                                            </w:t>
      </w:r>
    </w:p>
    <w:tbl>
      <w:tblPr>
        <w:tblStyle w:val="TableGrid"/>
        <w:name w:val="Таблица 3"/>
        <w:tabOrder w:val="0"/>
        <w:jc w:val="left"/>
        <w:tblInd w:w="0" w:type="dxa"/>
        <w:tblW w:w="10314" w:type="dxa"/>
        <w:tblLook w:val="04A0" w:firstRow="1" w:lastRow="0" w:firstColumn="1" w:lastColumn="0" w:noHBand="0" w:noVBand="1"/>
      </w:tblPr>
      <w:tblGrid>
        <w:gridCol w:w="817"/>
        <w:gridCol w:w="9497"/>
      </w:tblGrid>
      <w:tr>
        <w:trPr>
          <w:tblHeader w:val="0"/>
          <w:cantSplit w:val="0"/>
          <w:trHeight w:val="0" w:hRule="auto"/>
        </w:trPr>
        <w:tc>
          <w:tcPr>
            <w:tcW w:w="817" w:type="dxa"/>
            <w:tmTcPr id="1700851941" protected="0"/>
          </w:tcPr>
          <w:p>
            <w:pPr>
              <w:pStyle w:val="para5"/>
            </w:pPr>
            <w:r/>
          </w:p>
        </w:tc>
        <w:tc>
          <w:tcPr>
            <w:tcW w:w="9497" w:type="dxa"/>
            <w:tmTcPr id="1700851941" protected="0"/>
          </w:tcPr>
          <w:p>
            <w:pPr>
              <w:spacing/>
              <w:jc w:val="center"/>
              <w:rPr>
                <w:b/>
                <w:sz w:val="28"/>
                <w:szCs w:val="28"/>
                <w:lang w:val="ky-kg"/>
              </w:rPr>
            </w:pPr>
            <w:r>
              <w:rPr>
                <w:b/>
                <w:sz w:val="28"/>
                <w:szCs w:val="28"/>
              </w:rPr>
              <w:t>Конкурсный торг</w:t>
            </w:r>
            <w:r>
              <w:rPr>
                <w:b/>
                <w:sz w:val="28"/>
                <w:szCs w:val="28"/>
                <w:lang w:val="ky-kg"/>
              </w:rPr>
              <w:t xml:space="preserve"> № 38</w:t>
            </w:r>
          </w:p>
          <w:p>
            <w:pPr>
              <w:pStyle w:val="para7"/>
              <w:spacing w:before="0" w:after="0" w:beforeAutospacing="0" w:afterAutospacing="0"/>
              <w:contextualSpacing/>
              <w:jc w:val="center"/>
              <w:rPr>
                <w:rFonts w:ascii="Arial" w:hAnsi="Arial" w:cs="Arial"/>
                <w:b/>
                <w:bCs/>
                <w:color w:val="444444"/>
                <w:sz w:val="21"/>
                <w:szCs w:val="21"/>
                <w:shd w:val="clear" w:fill="ffffff"/>
                <w:lang w:val="en-us"/>
              </w:rPr>
            </w:pPr>
            <w:r>
              <w:rPr>
                <w:rFonts w:ascii="Arial" w:hAnsi="Arial" w:cs="Arial"/>
                <w:b/>
                <w:bCs/>
                <w:color w:val="444444"/>
                <w:sz w:val="21"/>
                <w:szCs w:val="21"/>
                <w:shd w:val="clear" w:fill="ffffff"/>
                <w:lang w:val="en-us"/>
              </w:rPr>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b/>
                <w:bCs/>
                <w:sz w:val="24"/>
                <w:szCs w:val="24"/>
              </w:rPr>
            </w:pPr>
            <w:r>
              <w:rPr>
                <w:b/>
                <w:bCs/>
                <w:sz w:val="24"/>
                <w:szCs w:val="24"/>
              </w:rPr>
              <w:t>Наименование и реквизиты закупающей организации:</w:t>
            </w:r>
            <w:r>
              <w:rPr>
                <w:sz w:val="24"/>
                <w:szCs w:val="24"/>
              </w:rPr>
              <w:t xml:space="preserve"> </w:t>
            </w:r>
            <w:r>
              <w:rPr>
                <w:color w:val="0070c0"/>
                <w:sz w:val="24"/>
                <w:szCs w:val="24"/>
              </w:rPr>
              <w:t xml:space="preserve"> Филиал «Таш</w:t>
            </w:r>
            <w:r>
              <w:rPr>
                <w:color w:val="0070c0"/>
                <w:sz w:val="24"/>
                <w:szCs w:val="24"/>
                <w:lang w:val="ky-kg"/>
              </w:rPr>
              <w:t>-Кумырское предприятие теплоснабжения”</w:t>
            </w:r>
            <w:r>
              <w:rPr>
                <w:b/>
                <w:bCs/>
                <w:sz w:val="24"/>
                <w:szCs w:val="24"/>
              </w:rPr>
              <w:t xml:space="preserve"> </w:t>
            </w:r>
            <w:r>
              <w:rPr>
                <w:b/>
                <w:bCs/>
                <w:sz w:val="24"/>
                <w:szCs w:val="24"/>
              </w:rPr>
            </w:r>
          </w:p>
          <w:p>
            <w:pPr>
              <w:pStyle w:val="para4"/>
              <w:rPr>
                <w:rFonts w:ascii="Times New Roman" w:hAnsi="Times New Roman"/>
                <w:sz w:val="24"/>
                <w:szCs w:val="24"/>
                <w:lang w:val="ky-kg"/>
              </w:rPr>
            </w:pPr>
            <w:r>
              <w:rPr>
                <w:rFonts w:ascii="Times New Roman" w:hAnsi="Times New Roman"/>
                <w:bCs/>
                <w:sz w:val="24"/>
                <w:szCs w:val="24"/>
              </w:rPr>
              <w:t xml:space="preserve">721404, </w:t>
            </w:r>
            <w:r>
              <w:rPr>
                <w:rFonts w:ascii="Times New Roman" w:hAnsi="Times New Roman"/>
                <w:bCs/>
                <w:sz w:val="24"/>
                <w:szCs w:val="24"/>
                <w:lang w:val="ky-kg"/>
              </w:rPr>
              <w:t xml:space="preserve">г. </w:t>
            </w:r>
            <w:r>
              <w:rPr>
                <w:rFonts w:ascii="Times New Roman" w:hAnsi="Times New Roman"/>
                <w:bCs/>
                <w:sz w:val="24"/>
                <w:szCs w:val="24"/>
              </w:rPr>
              <w:t>Таш-К</w:t>
            </w:r>
            <w:r>
              <w:rPr>
                <w:rFonts w:ascii="Times New Roman" w:hAnsi="Times New Roman"/>
                <w:bCs/>
                <w:sz w:val="24"/>
                <w:szCs w:val="24"/>
                <w:lang w:val="ky-kg"/>
              </w:rPr>
              <w:t>у</w:t>
            </w:r>
            <w:r>
              <w:rPr>
                <w:rFonts w:ascii="Times New Roman" w:hAnsi="Times New Roman"/>
                <w:bCs/>
                <w:sz w:val="24"/>
                <w:szCs w:val="24"/>
              </w:rPr>
              <w:t>м</w:t>
            </w:r>
            <w:r>
              <w:rPr>
                <w:rFonts w:ascii="Times New Roman" w:hAnsi="Times New Roman"/>
                <w:bCs/>
                <w:sz w:val="24"/>
                <w:szCs w:val="24"/>
                <w:lang w:val="ky-kg"/>
              </w:rPr>
              <w:t>ы</w:t>
            </w:r>
            <w:r>
              <w:rPr>
                <w:rFonts w:ascii="Times New Roman" w:hAnsi="Times New Roman"/>
                <w:bCs/>
                <w:sz w:val="24"/>
                <w:szCs w:val="24"/>
              </w:rPr>
              <w:t>р</w:t>
            </w:r>
            <w:r>
              <w:rPr>
                <w:rFonts w:ascii="Times New Roman" w:hAnsi="Times New Roman"/>
                <w:sz w:val="24"/>
                <w:szCs w:val="24"/>
                <w:lang w:val="ky-kg"/>
              </w:rPr>
            </w:r>
          </w:p>
          <w:p>
            <w:pPr>
              <w:pStyle w:val="para4"/>
              <w:rPr>
                <w:rFonts w:ascii="Times New Roman" w:hAnsi="Times New Roman"/>
                <w:sz w:val="24"/>
                <w:szCs w:val="24"/>
              </w:rPr>
            </w:pPr>
            <w:r>
              <w:rPr>
                <w:rFonts w:ascii="Times New Roman" w:hAnsi="Times New Roman"/>
                <w:sz w:val="24"/>
                <w:szCs w:val="24"/>
                <w:lang w:val="ky-kg"/>
              </w:rPr>
              <w:t xml:space="preserve">Улица </w:t>
            </w:r>
            <w:r>
              <w:rPr>
                <w:rFonts w:ascii="Times New Roman" w:hAnsi="Times New Roman"/>
                <w:sz w:val="24"/>
                <w:szCs w:val="24"/>
              </w:rPr>
              <w:t>Чыныбаева № 111/а</w:t>
            </w:r>
          </w:p>
          <w:p>
            <w:pPr>
              <w:pStyle w:val="para4"/>
              <w:rPr>
                <w:rFonts w:ascii="Times New Roman" w:hAnsi="Times New Roman"/>
                <w:sz w:val="24"/>
                <w:szCs w:val="24"/>
                <w:lang w:val="ky-kg"/>
              </w:rPr>
            </w:pPr>
            <w:r>
              <w:rPr>
                <w:rFonts w:ascii="Times New Roman" w:hAnsi="Times New Roman"/>
                <w:sz w:val="24"/>
                <w:szCs w:val="24"/>
                <w:lang w:val="ky-kg"/>
              </w:rPr>
              <w:t>р/с №1031720003218067</w:t>
              <w:tab/>
              <w:tab/>
              <w:tab/>
            </w:r>
          </w:p>
          <w:p>
            <w:pPr>
              <w:pStyle w:val="para4"/>
              <w:rPr>
                <w:rFonts w:ascii="Times New Roman" w:hAnsi="Times New Roman"/>
                <w:sz w:val="24"/>
                <w:szCs w:val="24"/>
                <w:lang w:val="ky-kg"/>
              </w:rPr>
            </w:pPr>
            <w:r>
              <w:rPr>
                <w:rFonts w:ascii="Times New Roman" w:hAnsi="Times New Roman"/>
                <w:sz w:val="24"/>
                <w:szCs w:val="24"/>
                <w:lang w:val="ky-kg"/>
              </w:rPr>
              <w:t>Банк ФОАО “Коммерческий Банк</w:t>
              <w:tab/>
              <w:t>Кыргызстан” г.Таш-Кумыр</w:t>
              <w:tab/>
            </w:r>
          </w:p>
          <w:p>
            <w:pPr>
              <w:pStyle w:val="para4"/>
              <w:rPr>
                <w:rFonts w:ascii="Times New Roman" w:hAnsi="Times New Roman"/>
                <w:sz w:val="24"/>
                <w:szCs w:val="24"/>
                <w:lang w:val="ky-kg"/>
              </w:rPr>
            </w:pPr>
            <w:r>
              <w:rPr>
                <w:rFonts w:ascii="Times New Roman" w:hAnsi="Times New Roman"/>
                <w:sz w:val="24"/>
                <w:szCs w:val="24"/>
                <w:lang w:val="ky-kg"/>
              </w:rPr>
              <w:t>ИНН 42311201710093</w:t>
              <w:tab/>
              <w:tab/>
              <w:tab/>
            </w:r>
          </w:p>
          <w:p>
            <w:pPr>
              <w:pStyle w:val="para4"/>
              <w:rPr>
                <w:rFonts w:ascii="Times New Roman" w:hAnsi="Times New Roman"/>
                <w:sz w:val="24"/>
                <w:szCs w:val="24"/>
                <w:lang w:val="ky-kg"/>
              </w:rPr>
            </w:pPr>
            <w:r>
              <w:rPr>
                <w:rFonts w:ascii="Times New Roman" w:hAnsi="Times New Roman"/>
                <w:sz w:val="24"/>
                <w:szCs w:val="24"/>
                <w:lang w:val="ky-kg"/>
              </w:rPr>
              <w:t xml:space="preserve">БИК – 103017 </w:t>
            </w:r>
          </w:p>
          <w:p>
            <w:pPr>
              <w:pStyle w:val="para4"/>
              <w:contextualSpacing/>
              <w:rPr>
                <w:rFonts w:ascii="Times New Roman" w:hAnsi="Times New Roman"/>
                <w:sz w:val="24"/>
                <w:szCs w:val="24"/>
                <w:lang w:val="ky-kg"/>
              </w:rPr>
            </w:pPr>
            <w:r>
              <w:rPr>
                <w:rFonts w:ascii="Times New Roman" w:hAnsi="Times New Roman"/>
                <w:sz w:val="24"/>
                <w:szCs w:val="24"/>
                <w:lang w:val="ky-kg"/>
              </w:rPr>
              <w:t xml:space="preserve">Код ГНИ – 049 </w:t>
            </w:r>
          </w:p>
          <w:p>
            <w:pPr>
              <w:contextualSpacing/>
              <w:rPr>
                <w:b/>
                <w:bCs/>
                <w:sz w:val="24"/>
                <w:szCs w:val="24"/>
              </w:rPr>
            </w:pPr>
            <w:r>
              <w:rPr>
                <w:rFonts w:cs="Calibri"/>
                <w:sz w:val="22"/>
                <w:szCs w:val="22"/>
                <w:lang w:val="ky-kg"/>
              </w:rPr>
              <w:t>ОКПО – 29278762</w:t>
            </w:r>
            <w:r>
              <w:rPr>
                <w:b/>
                <w:bCs/>
                <w:sz w:val="24"/>
                <w:szCs w:val="24"/>
              </w:rPr>
            </w:r>
          </w:p>
          <w:p>
            <w:pPr>
              <w:pStyle w:val="para7"/>
              <w:spacing w:before="0" w:after="0" w:beforeAutospacing="0" w:afterAutospacing="0"/>
              <w:contextualSpacing/>
              <w:rPr>
                <w:rFonts w:ascii="Arial" w:hAnsi="Arial" w:cs="Arial"/>
                <w:b/>
                <w:bCs/>
                <w:color w:val="444444"/>
                <w:sz w:val="21"/>
                <w:szCs w:val="21"/>
                <w:shd w:val="clear" w:fill="ffffff"/>
                <w:lang w:val="en-us"/>
              </w:rPr>
            </w:pPr>
            <w:r>
              <w:rPr>
                <w:b/>
                <w:bCs/>
                <w:lang w:val="en-us"/>
              </w:rPr>
              <w:t xml:space="preserve">E-mail: </w:t>
            </w:r>
            <w:r>
              <w:rPr>
                <w:b/>
                <w:bCs/>
                <w:color w:val="0070c0"/>
                <w:lang w:val="en-us"/>
              </w:rPr>
              <w:t xml:space="preserve"> </w:t>
            </w:r>
            <w:hyperlink r:id="rId8" w:history="1">
              <w:r>
                <w:rPr>
                  <w:rStyle w:val="char1"/>
                  <w:bCs/>
                </w:rPr>
                <w:t>tkfpts</w:t>
              </w:r>
              <w:r>
                <w:rPr>
                  <w:rStyle w:val="char1"/>
                  <w:bCs/>
                </w:rPr>
                <w:t>_</w:t>
              </w:r>
              <w:r>
                <w:rPr>
                  <w:rStyle w:val="char1"/>
                  <w:bCs/>
                </w:rPr>
                <w:t>zakup</w:t>
              </w:r>
              <w:r>
                <w:rPr>
                  <w:rStyle w:val="char1"/>
                  <w:bCs/>
                </w:rPr>
                <w:t>@</w:t>
              </w:r>
              <w:r>
                <w:rPr>
                  <w:rStyle w:val="char1"/>
                  <w:bCs/>
                </w:rPr>
                <w:t>mail</w:t>
              </w:r>
              <w:r>
                <w:rPr>
                  <w:rStyle w:val="char1"/>
                  <w:bCs/>
                </w:rPr>
                <w:t>.</w:t>
              </w:r>
              <w:r>
                <w:rPr>
                  <w:rStyle w:val="char1"/>
                  <w:bCs/>
                </w:rPr>
                <w:t>ru</w:t>
              </w:r>
            </w:hyperlink>
          </w:p>
        </w:tc>
      </w:tr>
      <w:tr>
        <w:trPr>
          <w:tblHeader w:val="0"/>
          <w:cantSplit w:val="0"/>
          <w:trHeight w:val="0" w:hRule="auto"/>
        </w:trPr>
        <w:tc>
          <w:tcPr>
            <w:tcW w:w="817" w:type="dxa"/>
            <w:tmTcPr id="1700851941" protected="0"/>
          </w:tcPr>
          <w:p>
            <w:pPr>
              <w:pStyle w:val="para5"/>
              <w:numPr>
                <w:ilvl w:val="0"/>
                <w:numId w:val="3"/>
              </w:numPr>
              <w:ind w:left="720" w:hanging="360"/>
              <w:contextualSpacing/>
              <w:rPr>
                <w:lang w:val="en-us"/>
              </w:rPr>
            </w:pPr>
            <w:r>
              <w:rPr>
                <w:lang w:val="en-us"/>
              </w:rPr>
            </w:r>
          </w:p>
        </w:tc>
        <w:tc>
          <w:tcPr>
            <w:tcW w:w="9497" w:type="dxa"/>
            <w:tmTcPr id="1700851941" protected="0"/>
          </w:tcPr>
          <w:p>
            <w:pPr>
              <w:rPr>
                <w:color w:val="0000ff"/>
                <w:sz w:val="24"/>
                <w:szCs w:val="24"/>
              </w:rPr>
            </w:pPr>
            <w:r>
              <w:rPr>
                <w:b/>
                <w:bCs/>
                <w:sz w:val="24"/>
                <w:szCs w:val="24"/>
              </w:rPr>
              <w:t>Предмет закупок:</w:t>
            </w:r>
            <w:r>
              <w:rPr>
                <w:sz w:val="24"/>
                <w:szCs w:val="24"/>
              </w:rPr>
              <w:t xml:space="preserve"> </w:t>
            </w:r>
            <w:r>
              <w:rPr>
                <w:b/>
                <w:color w:val="0070c0"/>
                <w:sz w:val="24"/>
                <w:szCs w:val="24"/>
              </w:rPr>
              <w:t xml:space="preserve"> </w:t>
            </w:r>
            <w:r>
              <w:rPr>
                <w:b/>
                <w:color w:val="0070c0"/>
                <w:sz w:val="24"/>
                <w:szCs w:val="24"/>
                <w:lang w:val="ky-kg"/>
              </w:rPr>
              <w:t xml:space="preserve">поставку материалов и товаров для строительства резервных линий объектов предприятия </w:t>
            </w:r>
            <w:r>
              <w:rPr>
                <w:color w:val="0000ff"/>
                <w:sz w:val="24"/>
                <w:szCs w:val="24"/>
              </w:rPr>
              <w:t>с работой</w:t>
            </w:r>
            <w:r>
              <w:rPr>
                <w:color w:val="0000ff"/>
                <w:sz w:val="24"/>
                <w:szCs w:val="24"/>
              </w:rPr>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sz w:val="24"/>
                <w:szCs w:val="24"/>
              </w:rPr>
              <w:t xml:space="preserve">Источник финансирования: Собственные средства </w:t>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b/>
                <w:bCs/>
                <w:sz w:val="24"/>
                <w:szCs w:val="24"/>
              </w:rPr>
            </w:pPr>
            <w:r>
              <w:rPr>
                <w:b/>
                <w:bCs/>
                <w:sz w:val="24"/>
                <w:szCs w:val="24"/>
              </w:rPr>
              <w:t xml:space="preserve">Адрес в Интернете для получения списка ненадежных поставщиков (подрядчиков): </w:t>
            </w:r>
            <w:hyperlink r:id="rId9" w:history="1">
              <w:r>
                <w:rPr>
                  <w:rStyle w:val="char1"/>
                  <w:bCs/>
                  <w:color w:val="0070c0"/>
                </w:rPr>
                <w:t>https://kje.kg/admin/</w:t>
              </w:r>
            </w:hyperlink>
            <w:r>
              <w:rPr>
                <w:rStyle w:val="char1"/>
                <w:bCs/>
                <w:color w:val="0070c0"/>
              </w:rPr>
              <w:t xml:space="preserve"> </w:t>
            </w:r>
            <w:r>
              <w:rPr>
                <w:rFonts w:ascii="Calibri" w:hAnsi="Calibri" w:cs="Calibri"/>
                <w:b/>
                <w:color w:val="0070c0"/>
                <w:sz w:val="24"/>
                <w:szCs w:val="22"/>
              </w:rPr>
              <w:t>(www.kje.kg)</w:t>
            </w:r>
            <w:r>
              <w:rPr>
                <w:b/>
                <w:bCs/>
                <w:sz w:val="24"/>
                <w:szCs w:val="24"/>
              </w:rPr>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b/>
                <w:bCs/>
                <w:sz w:val="24"/>
                <w:szCs w:val="24"/>
              </w:rPr>
              <w:t>Язык конкурсной заявки:</w:t>
            </w:r>
            <w:r>
              <w:rPr>
                <w:sz w:val="24"/>
                <w:szCs w:val="24"/>
              </w:rPr>
              <w:t xml:space="preserve"> Кыргызский Русский </w:t>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b/>
                <w:bCs/>
                <w:sz w:val="24"/>
                <w:szCs w:val="24"/>
              </w:rPr>
              <w:t>Предконкурсное совещание состоится:</w:t>
            </w:r>
            <w:r>
              <w:rPr>
                <w:sz w:val="24"/>
                <w:szCs w:val="24"/>
              </w:rPr>
              <w:t xml:space="preserve"> Не состоится </w:t>
            </w:r>
          </w:p>
        </w:tc>
      </w:tr>
      <w:tr>
        <w:trPr>
          <w:tblHeader w:val="0"/>
          <w:cantSplit w:val="0"/>
          <w:trHeight w:val="828" w:hRule="atLeast"/>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b/>
                <w:bCs/>
                <w:sz w:val="24"/>
                <w:szCs w:val="24"/>
              </w:rPr>
            </w:pPr>
            <w:r>
              <w:rPr>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Style w:val="NormalTable"/>
              <w:name w:val="Таблица2"/>
              <w:tabOrder w:val="0"/>
              <w:jc w:val="left"/>
              <w:tblInd w:w="0" w:type="dxa"/>
              <w:tblW w:w="9281" w:type="dxa"/>
              <w:tblLook w:val="04A0" w:firstRow="1" w:lastRow="0" w:firstColumn="1" w:lastColumn="0" w:noHBand="0" w:noVBand="1"/>
            </w:tblPr>
            <w:tblGrid>
              <w:gridCol w:w="9281"/>
            </w:tblGrid>
            <w:tr>
              <w:trPr>
                <w:tblHeader w:val="0"/>
                <w:cantSplit w:val="0"/>
                <w:trHeight w:val="0" w:hRule="auto"/>
              </w:trPr>
              <w:tc>
                <w:tcPr>
                  <w:tcW w:w="9281" w:type="dxa"/>
                  <w:vAlign w:val="center"/>
                  <w:tcMar>
                    <w:top w:w="15" w:type="dxa"/>
                    <w:left w:w="15" w:type="dxa"/>
                    <w:bottom w:w="15" w:type="dxa"/>
                    <w:right w:w="15" w:type="dxa"/>
                  </w:tcMar>
                  <w:tmTcPr id="1700851941" protected="0"/>
                </w:tcPr>
                <w:p>
                  <w:pPr>
                    <w:numPr>
                      <w:ilvl w:val="0"/>
                      <w:numId w:val="4"/>
                    </w:numPr>
                    <w:ind w:left="720" w:hanging="360"/>
                    <w:spacing w:before="100" w:after="100" w:beforeAutospacing="1" w:afterAutospacing="1"/>
                    <w:contextualSpacing/>
                    <w:rPr>
                      <w:rFonts w:ascii="Tahoma" w:hAnsi="Tahoma" w:eastAsia="Calibri" w:cs="Tahoma"/>
                      <w:b/>
                      <w:sz w:val="19"/>
                      <w:szCs w:val="19"/>
                    </w:rPr>
                  </w:pPr>
                  <w:r>
                    <w:rPr>
                      <w:rFonts w:ascii="Tahoma" w:hAnsi="Tahoma" w:eastAsia="Calibri" w:cs="Tahoma"/>
                      <w:b/>
                      <w:sz w:val="19"/>
                      <w:szCs w:val="19"/>
                    </w:rPr>
                    <w:t>Предоставить полный пакет  конкурсной документации (заявка) с установленным паролем доступа.</w:t>
                  </w:r>
                </w:p>
                <w:p>
                  <w:pPr>
                    <w:pStyle w:val="para5"/>
                    <w:numPr>
                      <w:ilvl w:val="0"/>
                      <w:numId w:val="4"/>
                    </w:numPr>
                    <w:ind w:left="720" w:hanging="360"/>
                    <w:spacing w:before="100" w:after="100" w:beforeAutospacing="1" w:afterAutospacing="1"/>
                    <w:contextualSpacing/>
                  </w:pPr>
                  <w:r>
                    <w:t>Предоставить информацию об отсутствии задолженности по уплате страховых взносов</w:t>
                  </w:r>
                </w:p>
                <w:p>
                  <w:pPr>
                    <w:pStyle w:val="para5"/>
                    <w:numPr>
                      <w:ilvl w:val="0"/>
                      <w:numId w:val="4"/>
                    </w:numPr>
                    <w:ind w:left="720" w:hanging="360"/>
                    <w:spacing w:before="100" w:after="100" w:beforeAutospacing="1" w:afterAutospacing="1"/>
                    <w:contextualSpacing/>
                  </w:pPr>
                  <w:r>
                    <w:t>Предоставить информацию об отсутствии задолженности по уплате налоговых взносов</w:t>
                  </w:r>
                </w:p>
                <w:p>
                  <w:pPr>
                    <w:pStyle w:val="para5"/>
                    <w:numPr>
                      <w:ilvl w:val="0"/>
                      <w:numId w:val="4"/>
                    </w:numPr>
                    <w:ind w:left="720" w:hanging="360"/>
                    <w:spacing w:before="100" w:after="100" w:beforeAutospacing="1" w:afterAutospacing="1"/>
                    <w:contextualSpacing/>
                    <w:rPr>
                      <w:lang w:val="ky-kg"/>
                    </w:rPr>
                  </w:pPr>
                  <w:r>
                    <w:t>Предоставить сканированную копию оригинала Устава или свидетельство о регистрации</w:t>
                  </w:r>
                  <w:r>
                    <w:rPr>
                      <w:lang w:val="ky-kg"/>
                    </w:rPr>
                    <w:t xml:space="preserve"> </w:t>
                  </w:r>
                  <w:r>
                    <w:rPr>
                      <w:lang w:val="ky-kg"/>
                    </w:rPr>
                  </w:r>
                </w:p>
                <w:p>
                  <w:pPr>
                    <w:pStyle w:val="para5"/>
                    <w:numPr>
                      <w:ilvl w:val="0"/>
                      <w:numId w:val="4"/>
                    </w:numPr>
                    <w:ind w:left="720" w:hanging="360"/>
                    <w:spacing w:before="100" w:after="100" w:beforeAutospacing="1" w:afterAutospacing="1"/>
                    <w:contextualSpacing/>
                  </w:pPr>
                  <w:r>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Pr>
                      <w:lang w:val="ky-kg"/>
                    </w:rPr>
                    <w:t>.</w:t>
                  </w:r>
                  <w:r>
                    <w:t xml:space="preserve"> </w:t>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Предоставить бухгалтерский баланс за 2022 год.</w:t>
                  </w:r>
                  <w:r>
                    <w:rPr>
                      <w:rFonts w:eastAsia="Calibri"/>
                      <w:szCs w:val="22"/>
                      <w:lang w:eastAsia="en-us"/>
                    </w:rPr>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Предоставить (на момент вскрытия конкурсной заявки) сертификат соответствия и сертификат происхождения на товар</w:t>
                  </w:r>
                  <w:r>
                    <w:rPr>
                      <w:rFonts w:eastAsia="Calibri"/>
                      <w:szCs w:val="22"/>
                      <w:lang w:eastAsia="en-us"/>
                    </w:rPr>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 xml:space="preserve">Таблица цен </w:t>
                  </w:r>
                  <w:r>
                    <w:rPr>
                      <w:color w:val="ff0000"/>
                      <w:lang w:eastAsia="ru-ru"/>
                    </w:rPr>
                    <w:t>(обязательно)</w:t>
                  </w:r>
                  <w:r>
                    <w:rPr>
                      <w:rFonts w:eastAsia="Calibri"/>
                      <w:szCs w:val="22"/>
                      <w:lang w:eastAsia="en-us"/>
                    </w:rPr>
                  </w:r>
                </w:p>
                <w:p>
                  <w:pPr>
                    <w:pStyle w:val="para5"/>
                    <w:spacing w:before="100" w:after="100" w:beforeAutospacing="1" w:afterAutospacing="1"/>
                  </w:pPr>
                  <w:r/>
                </w:p>
              </w:tc>
            </w:tr>
          </w:tbl>
          <w:p>
            <w:pPr>
              <w:spacing w:before="100" w:after="100" w:beforeAutospacing="1" w:afterAutospacing="1"/>
              <w:rPr>
                <w:rFonts w:eastAsia="Times New Roman"/>
                <w:sz w:val="24"/>
                <w:szCs w:val="24"/>
              </w:rPr>
            </w:pPr>
            <w:r>
              <w:rPr>
                <w:rFonts w:eastAsia="Times New Roman"/>
                <w:sz w:val="24"/>
                <w:szCs w:val="24"/>
              </w:rPr>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b/>
                <w:bCs/>
                <w:sz w:val="24"/>
                <w:szCs w:val="24"/>
              </w:rPr>
              <w:t>Срок действия конкурсной заявки:</w:t>
            </w:r>
            <w:r>
              <w:rPr>
                <w:sz w:val="24"/>
                <w:szCs w:val="24"/>
              </w:rPr>
              <w:t xml:space="preserve"> </w:t>
            </w:r>
            <w:r>
              <w:rPr>
                <w:sz w:val="24"/>
                <w:szCs w:val="24"/>
                <w:lang w:val="ky-kg"/>
              </w:rPr>
              <w:t>3</w:t>
            </w:r>
            <w:r>
              <w:rPr>
                <w:sz w:val="24"/>
                <w:szCs w:val="24"/>
              </w:rPr>
              <w:t>0 дней после вскрытия</w:t>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lang w:val="ky-kg"/>
              </w:rPr>
            </w:pPr>
            <w:r>
              <w:rPr>
                <w:b/>
                <w:bCs/>
                <w:sz w:val="24"/>
                <w:szCs w:val="24"/>
              </w:rPr>
              <w:t>Размер и форма гарантийного обеспечения конкурсной заявки:</w:t>
            </w:r>
            <w:r>
              <w:rPr>
                <w:sz w:val="24"/>
                <w:szCs w:val="24"/>
              </w:rPr>
              <w:t xml:space="preserve"> </w:t>
            </w:r>
            <w:r>
              <w:rPr>
                <w:sz w:val="24"/>
                <w:szCs w:val="24"/>
                <w:lang w:val="ky-kg"/>
              </w:rPr>
              <w:t>Декларация</w:t>
            </w:r>
            <w:r>
              <w:rPr>
                <w:sz w:val="24"/>
                <w:szCs w:val="24"/>
                <w:lang w:val="ky-kg"/>
              </w:rPr>
            </w:r>
          </w:p>
          <w:p>
            <w:pPr>
              <w:rPr>
                <w:sz w:val="24"/>
                <w:szCs w:val="24"/>
              </w:rPr>
            </w:pPr>
            <w:r>
              <w:rPr>
                <w:b/>
                <w:bCs/>
                <w:sz w:val="24"/>
                <w:szCs w:val="24"/>
              </w:rPr>
              <w:t xml:space="preserve">Банк: </w:t>
            </w:r>
            <w:r>
              <w:rPr>
                <w:rFonts w:cs="Calibri"/>
                <w:sz w:val="24"/>
                <w:szCs w:val="24"/>
                <w:lang w:val="ky-kg"/>
              </w:rPr>
              <w:t xml:space="preserve"> ФОАО “Коммерческий Банк Кыргызстан” г.Таш-Кумыр</w:t>
            </w:r>
            <w:r>
              <w:rPr>
                <w:sz w:val="24"/>
                <w:szCs w:val="24"/>
              </w:rPr>
            </w:r>
          </w:p>
          <w:p>
            <w:pPr>
              <w:rPr>
                <w:sz w:val="24"/>
                <w:szCs w:val="24"/>
              </w:rPr>
            </w:pPr>
            <w:r>
              <w:rPr>
                <w:b/>
                <w:bCs/>
                <w:sz w:val="24"/>
                <w:szCs w:val="24"/>
              </w:rPr>
              <w:t xml:space="preserve">БИК: </w:t>
            </w:r>
            <w:r>
              <w:rPr>
                <w:rFonts w:cs="Calibri"/>
                <w:sz w:val="24"/>
                <w:szCs w:val="24"/>
                <w:lang w:val="ky-kg"/>
              </w:rPr>
              <w:t>103017</w:t>
            </w:r>
            <w:r>
              <w:rPr>
                <w:sz w:val="24"/>
                <w:szCs w:val="24"/>
              </w:rPr>
            </w:r>
          </w:p>
          <w:p>
            <w:pPr>
              <w:rPr>
                <w:b/>
                <w:bCs/>
                <w:sz w:val="24"/>
                <w:szCs w:val="24"/>
              </w:rPr>
            </w:pPr>
            <w:r>
              <w:rPr>
                <w:b/>
                <w:bCs/>
                <w:sz w:val="24"/>
                <w:szCs w:val="24"/>
              </w:rPr>
              <w:t xml:space="preserve">Р/с: </w:t>
            </w:r>
            <w:r>
              <w:rPr>
                <w:rFonts w:cs="Calibri"/>
                <w:sz w:val="24"/>
                <w:szCs w:val="24"/>
                <w:lang w:val="ky-kg"/>
              </w:rPr>
              <w:t>1031720003218067</w:t>
            </w:r>
            <w:r>
              <w:rPr>
                <w:b/>
                <w:bCs/>
                <w:sz w:val="24"/>
                <w:szCs w:val="24"/>
              </w:rPr>
            </w:r>
          </w:p>
        </w:tc>
      </w:tr>
      <w:tr>
        <w:trPr>
          <w:tblHeader w:val="0"/>
          <w:cantSplit w:val="0"/>
          <w:trHeight w:val="1058" w:hRule="atLeast"/>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b/>
                <w:bCs/>
                <w:sz w:val="24"/>
                <w:szCs w:val="24"/>
              </w:rPr>
              <w:t xml:space="preserve">Окончательный срок подачи заявок: </w:t>
            </w:r>
            <w:r>
              <w:rPr>
                <w:sz w:val="24"/>
                <w:szCs w:val="24"/>
                <w:lang w:val="ky-kg"/>
              </w:rPr>
              <w:t>27.11.</w:t>
            </w:r>
            <w:r>
              <w:rPr>
                <w:sz w:val="24"/>
                <w:szCs w:val="24"/>
                <w:lang w:val="ky-kg"/>
              </w:rPr>
              <w:t>2023</w:t>
            </w:r>
            <w:r>
              <w:rPr>
                <w:sz w:val="24"/>
                <w:szCs w:val="24"/>
              </w:rPr>
              <w:t xml:space="preserve"> г. до </w:t>
            </w:r>
            <w:r>
              <w:rPr>
                <w:sz w:val="24"/>
                <w:szCs w:val="24"/>
                <w:lang w:val="ky-kg"/>
              </w:rPr>
              <w:t>10</w:t>
            </w:r>
            <w:r>
              <w:rPr>
                <w:sz w:val="24"/>
                <w:szCs w:val="24"/>
              </w:rPr>
              <w:t xml:space="preserve">:00 </w:t>
            </w:r>
          </w:p>
          <w:p>
            <w:pPr>
              <w:rPr>
                <w:b/>
                <w:bCs/>
                <w:color w:val="0070c0"/>
                <w:sz w:val="24"/>
                <w:szCs w:val="24"/>
              </w:rPr>
            </w:pPr>
            <w:r>
              <w:rPr>
                <w:b/>
                <w:bCs/>
                <w:sz w:val="24"/>
                <w:szCs w:val="24"/>
              </w:rPr>
              <w:t>Место подачи конкурсной заявок:</w:t>
            </w:r>
            <w:r>
              <w:rPr>
                <w:sz w:val="24"/>
                <w:szCs w:val="24"/>
              </w:rPr>
              <w:t xml:space="preserve"> </w:t>
            </w:r>
            <w:hyperlink r:id="rId8" w:history="1">
              <w:r>
                <w:rPr>
                  <w:rStyle w:val="char1"/>
                  <w:rFonts w:ascii="Arial" w:hAnsi="Arial" w:cs="Arial"/>
                  <w:bCs/>
                  <w:sz w:val="21"/>
                  <w:szCs w:val="21"/>
                  <w:shd w:val="clear" w:fill="ffffff"/>
                  <w:lang w:val="en-us"/>
                </w:rPr>
                <w:t>tkfpts</w:t>
              </w:r>
              <w:r>
                <w:rPr>
                  <w:rStyle w:val="char1"/>
                  <w:rFonts w:ascii="Arial" w:hAnsi="Arial" w:cs="Arial"/>
                  <w:bCs/>
                  <w:sz w:val="21"/>
                  <w:szCs w:val="21"/>
                  <w:shd w:val="clear" w:fill="ffffff"/>
                </w:rPr>
                <w:t>_</w:t>
              </w:r>
              <w:r>
                <w:rPr>
                  <w:rStyle w:val="char1"/>
                  <w:rFonts w:ascii="Arial" w:hAnsi="Arial" w:cs="Arial"/>
                  <w:bCs/>
                  <w:sz w:val="21"/>
                  <w:szCs w:val="21"/>
                  <w:shd w:val="clear" w:fill="ffffff"/>
                  <w:lang w:val="en-us"/>
                </w:rPr>
                <w:t>zakup</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mail</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ru</w:t>
              </w:r>
            </w:hyperlink>
          </w:p>
          <w:p>
            <w:pPr>
              <w:rPr>
                <w:sz w:val="24"/>
                <w:szCs w:val="24"/>
              </w:rPr>
            </w:pPr>
            <w:r>
              <w:rPr>
                <w:b/>
                <w:bCs/>
                <w:sz w:val="24"/>
                <w:szCs w:val="24"/>
              </w:rPr>
              <w:t xml:space="preserve">Дата окончания приема паролей к конкурсным заявкам: </w:t>
            </w:r>
            <w:r>
              <w:rPr>
                <w:sz w:val="24"/>
                <w:szCs w:val="24"/>
                <w:lang w:val="ky-kg"/>
              </w:rPr>
              <w:t>27.11.</w:t>
            </w:r>
            <w:r>
              <w:rPr>
                <w:sz w:val="24"/>
                <w:szCs w:val="24"/>
                <w:lang w:val="ky-kg"/>
              </w:rPr>
              <w:t>2023</w:t>
            </w:r>
            <w:r>
              <w:rPr>
                <w:sz w:val="24"/>
                <w:szCs w:val="24"/>
              </w:rPr>
              <w:t xml:space="preserve"> г. </w:t>
            </w:r>
            <w:r>
              <w:rPr>
                <w:sz w:val="24"/>
                <w:szCs w:val="24"/>
                <w:lang w:val="ky-kg"/>
              </w:rPr>
              <w:t>09</w:t>
            </w:r>
            <w:r>
              <w:rPr>
                <w:sz w:val="24"/>
                <w:szCs w:val="24"/>
              </w:rPr>
              <w:t>:00</w:t>
            </w:r>
          </w:p>
          <w:p>
            <w:pPr>
              <w:rPr>
                <w:b/>
                <w:bCs/>
                <w:sz w:val="24"/>
                <w:szCs w:val="24"/>
              </w:rPr>
            </w:pPr>
            <w:r>
              <w:rPr>
                <w:b/>
                <w:bCs/>
                <w:sz w:val="24"/>
                <w:szCs w:val="24"/>
              </w:rPr>
              <w:t xml:space="preserve">Место подачи пароли доступа к конкурсной заявке: </w:t>
            </w:r>
            <w:r>
              <w:rPr>
                <w:b/>
                <w:bCs/>
                <w:color w:val="0070c0"/>
                <w:sz w:val="24"/>
                <w:szCs w:val="24"/>
              </w:rPr>
              <w:t xml:space="preserve">  </w:t>
            </w:r>
            <w:hyperlink r:id="rId8" w:history="1">
              <w:r>
                <w:rPr>
                  <w:rStyle w:val="char1"/>
                  <w:rFonts w:ascii="Arial" w:hAnsi="Arial" w:cs="Arial"/>
                  <w:bCs/>
                  <w:sz w:val="21"/>
                  <w:szCs w:val="21"/>
                  <w:shd w:val="clear" w:fill="ffffff"/>
                  <w:lang w:val="en-us"/>
                </w:rPr>
                <w:t>tkfpts</w:t>
              </w:r>
              <w:r>
                <w:rPr>
                  <w:rStyle w:val="char1"/>
                  <w:rFonts w:ascii="Arial" w:hAnsi="Arial" w:cs="Arial"/>
                  <w:bCs/>
                  <w:sz w:val="21"/>
                  <w:szCs w:val="21"/>
                  <w:shd w:val="clear" w:fill="ffffff"/>
                </w:rPr>
                <w:t>_</w:t>
              </w:r>
              <w:r>
                <w:rPr>
                  <w:rStyle w:val="char1"/>
                  <w:rFonts w:ascii="Arial" w:hAnsi="Arial" w:cs="Arial"/>
                  <w:bCs/>
                  <w:sz w:val="21"/>
                  <w:szCs w:val="21"/>
                  <w:shd w:val="clear" w:fill="ffffff"/>
                  <w:lang w:val="en-us"/>
                </w:rPr>
                <w:t>zakup</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mail</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ru</w:t>
              </w:r>
            </w:hyperlink>
            <w:r>
              <w:rPr>
                <w:rFonts w:ascii="Arial" w:hAnsi="Arial" w:cs="Arial"/>
                <w:b/>
                <w:bCs/>
                <w:color w:val="444444"/>
                <w:sz w:val="21"/>
                <w:szCs w:val="21"/>
                <w:shd w:val="clear" w:fill="ffffff"/>
                <w:lang w:val="ky-kg"/>
              </w:rPr>
              <w:t xml:space="preserve"> </w:t>
            </w:r>
            <w:r>
              <w:rPr>
                <w:sz w:val="24"/>
                <w:szCs w:val="24"/>
                <w:lang w:val="en-us"/>
              </w:rPr>
              <w:t>Whats</w:t>
            </w:r>
            <w:r>
              <w:rPr>
                <w:sz w:val="24"/>
                <w:szCs w:val="24"/>
                <w:lang w:val="en-us"/>
              </w:rPr>
              <w:t>A</w:t>
            </w:r>
            <w:r>
              <w:rPr>
                <w:sz w:val="24"/>
                <w:szCs w:val="24"/>
                <w:lang w:val="en-us"/>
              </w:rPr>
              <w:t>p</w:t>
            </w:r>
            <w:r>
              <w:rPr>
                <w:sz w:val="24"/>
                <w:szCs w:val="24"/>
                <w:lang w:val="en-us"/>
              </w:rPr>
              <w:t>p</w:t>
            </w:r>
            <w:r>
              <w:rPr>
                <w:sz w:val="24"/>
                <w:szCs w:val="24"/>
              </w:rPr>
              <w:t xml:space="preserve"> 0502071238.</w:t>
            </w:r>
            <w:r>
              <w:rPr>
                <w:b/>
                <w:bCs/>
                <w:sz w:val="24"/>
                <w:szCs w:val="24"/>
              </w:rPr>
            </w:r>
          </w:p>
          <w:p>
            <w:pPr>
              <w:rPr>
                <w:b/>
                <w:bCs/>
                <w:sz w:val="24"/>
                <w:szCs w:val="24"/>
              </w:rPr>
            </w:pPr>
            <w:r>
              <w:rPr>
                <w:b/>
                <w:bCs/>
                <w:sz w:val="24"/>
                <w:szCs w:val="24"/>
              </w:rPr>
              <w:t>Дата и время вскрытия заявок</w:t>
            </w:r>
            <w:r>
              <w:rPr>
                <w:sz w:val="24"/>
                <w:szCs w:val="24"/>
              </w:rPr>
              <w:t xml:space="preserve">: г </w:t>
            </w:r>
            <w:r>
              <w:rPr>
                <w:sz w:val="24"/>
                <w:szCs w:val="24"/>
                <w:lang w:val="ky-kg"/>
              </w:rPr>
              <w:t>таш-Кумыр</w:t>
            </w:r>
            <w:r>
              <w:rPr>
                <w:sz w:val="24"/>
                <w:szCs w:val="24"/>
              </w:rPr>
              <w:t xml:space="preserve">, ул. </w:t>
            </w:r>
            <w:r>
              <w:rPr>
                <w:sz w:val="24"/>
                <w:szCs w:val="24"/>
                <w:lang w:val="ky-kg"/>
              </w:rPr>
              <w:t>Чыныбаева 111а</w:t>
            </w:r>
            <w:r>
              <w:rPr>
                <w:sz w:val="24"/>
                <w:szCs w:val="24"/>
              </w:rPr>
              <w:t xml:space="preserve">  </w:t>
            </w:r>
            <w:r>
              <w:rPr>
                <w:sz w:val="24"/>
                <w:szCs w:val="24"/>
                <w:lang w:val="ky-kg"/>
              </w:rPr>
              <w:t>27.11.2023</w:t>
            </w:r>
            <w:r>
              <w:rPr>
                <w:sz w:val="24"/>
                <w:szCs w:val="24"/>
              </w:rPr>
              <w:t xml:space="preserve"> г. </w:t>
            </w:r>
            <w:r>
              <w:rPr>
                <w:sz w:val="24"/>
                <w:szCs w:val="24"/>
                <w:lang w:val="ky-kg"/>
              </w:rPr>
              <w:t>10</w:t>
            </w:r>
            <w:r>
              <w:rPr>
                <w:sz w:val="24"/>
                <w:szCs w:val="24"/>
              </w:rPr>
              <w:t xml:space="preserve">:00  </w:t>
            </w:r>
            <w:r>
              <w:rPr>
                <w:b/>
                <w:bCs/>
                <w:sz w:val="24"/>
                <w:szCs w:val="24"/>
              </w:rPr>
            </w:r>
          </w:p>
        </w:tc>
      </w:tr>
      <w:tr>
        <w:trPr>
          <w:tblHeader w:val="0"/>
          <w:cantSplit w:val="0"/>
          <w:trHeight w:val="562" w:hRule="atLeast"/>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b/>
                <w:bCs/>
                <w:sz w:val="24"/>
                <w:szCs w:val="24"/>
              </w:rPr>
            </w:pPr>
            <w:r>
              <w:rPr>
                <w:b/>
                <w:bCs/>
                <w:sz w:val="24"/>
                <w:szCs w:val="24"/>
              </w:rPr>
              <w:t xml:space="preserve">Правила оценки, установленные Уполномоченным государственным </w:t>
            </w:r>
          </w:p>
          <w:p>
            <w:pPr>
              <w:rPr>
                <w:sz w:val="24"/>
                <w:szCs w:val="24"/>
              </w:rPr>
            </w:pPr>
            <w:r>
              <w:rPr>
                <w:b/>
                <w:bCs/>
                <w:sz w:val="24"/>
                <w:szCs w:val="24"/>
              </w:rPr>
              <w:t>органом, а также сформированный оценочный отчет</w:t>
            </w:r>
            <w:r>
              <w:rPr>
                <w:sz w:val="24"/>
                <w:szCs w:val="24"/>
              </w:rPr>
              <w:t>.</w:t>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b/>
                <w:bCs/>
                <w:sz w:val="24"/>
                <w:szCs w:val="24"/>
              </w:rPr>
              <w:t>Альтернативные конкурсные заявки:</w:t>
            </w:r>
            <w:r>
              <w:rPr>
                <w:sz w:val="24"/>
                <w:szCs w:val="24"/>
              </w:rPr>
              <w:t xml:space="preserve"> Не предусмотрено </w:t>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b/>
                <w:bCs/>
                <w:sz w:val="24"/>
                <w:szCs w:val="24"/>
              </w:rPr>
              <w:t>Валюта конкурсной заявки:</w:t>
            </w:r>
            <w:r>
              <w:rPr>
                <w:sz w:val="24"/>
                <w:szCs w:val="24"/>
              </w:rPr>
              <w:t xml:space="preserve"> Кыргызский сом </w:t>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b/>
                <w:bCs/>
                <w:sz w:val="24"/>
                <w:szCs w:val="24"/>
              </w:rPr>
              <w:t>Критерии оценки конкурсных заявок;</w:t>
            </w:r>
            <w:r>
              <w:rPr>
                <w:sz w:val="24"/>
                <w:szCs w:val="24"/>
              </w:rPr>
              <w:t xml:space="preserve"> Победившей может быть признана Конкурсная заявка, отвечающая по существу требованиям </w:t>
            </w:r>
            <w:r>
              <w:rPr>
                <w:bCs/>
                <w:sz w:val="24"/>
                <w:szCs w:val="24"/>
              </w:rPr>
              <w:t>конкурсной документации, квалификационным требованиям, техническим параметрам и имеющая наименьшую оцененную стоимость</w:t>
            </w:r>
            <w:r>
              <w:rPr>
                <w:sz w:val="24"/>
                <w:szCs w:val="24"/>
              </w:rPr>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b/>
                <w:bCs/>
                <w:sz w:val="24"/>
                <w:szCs w:val="24"/>
              </w:rPr>
              <w:t>Платеж:</w:t>
            </w:r>
            <w:r>
              <w:rPr>
                <w:sz w:val="24"/>
                <w:szCs w:val="24"/>
              </w:rPr>
              <w:t xml:space="preserve"> по мере финансирования</w:t>
            </w:r>
          </w:p>
        </w:tc>
      </w:tr>
      <w:tr>
        <w:trPr>
          <w:tblHeader w:val="0"/>
          <w:cantSplit w:val="0"/>
          <w:trHeight w:val="2532" w:hRule="atLeast"/>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b/>
                <w:bCs/>
                <w:sz w:val="24"/>
                <w:szCs w:val="24"/>
              </w:rPr>
            </w:pPr>
            <w:r>
              <w:rPr>
                <w:b/>
                <w:bCs/>
                <w:sz w:val="24"/>
                <w:szCs w:val="24"/>
              </w:rPr>
              <w:t>Покупатель отклоняет конкурсную заявку в случае, если:</w:t>
            </w:r>
          </w:p>
          <w:p>
            <w:pPr>
              <w:pStyle w:val="para5"/>
              <w:numPr>
                <w:ilvl w:val="0"/>
                <w:numId w:val="5"/>
              </w:numPr>
              <w:ind w:left="720" w:hanging="360"/>
              <w:contextualSpacing/>
            </w:pPr>
            <w:r>
              <w:t>Поставщик не соответствует квалификационным требованиям Закупающей организации.</w:t>
            </w:r>
          </w:p>
          <w:p>
            <w:pPr>
              <w:pStyle w:val="para5"/>
              <w:numPr>
                <w:ilvl w:val="0"/>
                <w:numId w:val="5"/>
              </w:numPr>
              <w:ind w:left="720" w:hanging="360"/>
              <w:contextualSpacing/>
            </w:pPr>
            <w:r>
              <w:t>Конкурсная заявка, по существу не отвечает требования конкурсной документации.</w:t>
            </w:r>
          </w:p>
          <w:p>
            <w:pPr>
              <w:pStyle w:val="para5"/>
              <w:numPr>
                <w:ilvl w:val="0"/>
                <w:numId w:val="5"/>
              </w:numPr>
              <w:ind w:left="720" w:hanging="360"/>
              <w:contextualSpacing/>
            </w:pPr>
            <w:r>
              <w:t>Технические параметры, предложенные в конкурсной заявке, не соответствует технической спецификации конкурсной документации.</w:t>
            </w:r>
          </w:p>
          <w:p>
            <w:pPr>
              <w:pStyle w:val="para5"/>
              <w:numPr>
                <w:ilvl w:val="0"/>
                <w:numId w:val="5"/>
              </w:numPr>
              <w:ind w:left="720" w:hanging="360"/>
              <w:contextualSpacing/>
            </w:pPr>
            <w:r>
              <w:t>Поставщик предоставил более одной конкурсной заявки.</w:t>
            </w:r>
          </w:p>
          <w:p>
            <w:pPr>
              <w:pStyle w:val="para5"/>
              <w:numPr>
                <w:ilvl w:val="0"/>
                <w:numId w:val="5"/>
              </w:numPr>
              <w:ind w:left="720" w:hanging="360"/>
              <w:contextualSpacing/>
            </w:pPr>
            <w:r>
              <w:t>Минимальная цена по конкурсу превышает планируемую сумму закупки.</w:t>
            </w:r>
          </w:p>
          <w:p>
            <w:pPr>
              <w:pStyle w:val="para5"/>
            </w:pPr>
            <w:r/>
          </w:p>
        </w:tc>
      </w:tr>
      <w:tr>
        <w:trPr>
          <w:tblHeader w:val="0"/>
          <w:cantSplit w:val="0"/>
          <w:trHeight w:val="0" w:hRule="auto"/>
        </w:trPr>
        <w:tc>
          <w:tcPr>
            <w:tcW w:w="817" w:type="dxa"/>
            <w:tmTcPr id="1700851941" protected="0"/>
          </w:tcPr>
          <w:p>
            <w:pPr>
              <w:pStyle w:val="para5"/>
              <w:numPr>
                <w:ilvl w:val="0"/>
                <w:numId w:val="3"/>
              </w:numPr>
              <w:ind w:left="720" w:hanging="360"/>
              <w:contextualSpacing/>
            </w:pPr>
            <w:r/>
          </w:p>
        </w:tc>
        <w:tc>
          <w:tcPr>
            <w:tcW w:w="9497" w:type="dxa"/>
            <w:tmTcPr id="1700851941" protected="0"/>
          </w:tcPr>
          <w:p>
            <w:pPr>
              <w:rPr>
                <w:sz w:val="24"/>
                <w:szCs w:val="24"/>
              </w:rPr>
            </w:pPr>
            <w:r>
              <w:rPr>
                <w:b/>
                <w:bCs/>
                <w:sz w:val="24"/>
                <w:szCs w:val="24"/>
              </w:rPr>
              <w:t>Размер гарантийного обеспечения исполнения Договора:</w:t>
            </w:r>
            <w:r>
              <w:rPr>
                <w:sz w:val="24"/>
                <w:szCs w:val="24"/>
              </w:rPr>
              <w:t xml:space="preserve"> Не предусмотрено</w:t>
            </w:r>
          </w:p>
        </w:tc>
      </w:tr>
    </w:tbl>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i/>
          <w:sz w:val="28"/>
          <w:szCs w:val="28"/>
          <w:lang w:val="ky-kg"/>
        </w:rPr>
      </w:pPr>
      <w:r>
        <w:rPr>
          <w:rFonts w:eastAsia="Calibri"/>
          <w:b/>
          <w:i/>
          <w:sz w:val="28"/>
          <w:szCs w:val="28"/>
        </w:rPr>
        <w:t>Конкурс №</w:t>
      </w:r>
      <w:r>
        <w:rPr>
          <w:rFonts w:eastAsia="Calibri"/>
          <w:b/>
          <w:i/>
          <w:sz w:val="28"/>
          <w:szCs w:val="28"/>
          <w:lang w:val="ky-kg"/>
        </w:rPr>
        <w:t>38</w:t>
      </w:r>
    </w:p>
    <w:p>
      <w:pPr>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i/>
          <w:sz w:val="28"/>
          <w:szCs w:val="28"/>
        </w:rPr>
      </w:pPr>
      <w:r>
        <w:rPr>
          <w:rFonts w:eastAsia="Calibri"/>
          <w:b/>
          <w:i/>
          <w:sz w:val="28"/>
          <w:szCs w:val="28"/>
        </w:rPr>
        <w:t xml:space="preserve">Приложение № 1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eastAsia="Calibri"/>
          <w:b/>
          <w:sz w:val="24"/>
          <w:szCs w:val="24"/>
        </w:rPr>
        <w:t xml:space="preserve">               Заявка на услуги перевозки грузов по территории КР</w:t>
      </w:r>
      <w:r>
        <w:rPr>
          <w:rFonts w:ascii="Arial" w:hAnsi="Arial" w:eastAsia="Calibri" w:cs="Arial"/>
          <w:b/>
          <w:color w:val="ff0000"/>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          Конкурсная комиссия: </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lang w:val="ky-kg"/>
        </w:rPr>
      </w:pPr>
      <w:r>
        <w:rPr>
          <w:rFonts w:eastAsia="Calibri"/>
          <w:sz w:val="28"/>
          <w:szCs w:val="28"/>
        </w:rPr>
        <w:t xml:space="preserve">Председатель комиссии: - - </w:t>
      </w:r>
      <w:r>
        <w:rPr>
          <w:rFonts w:eastAsia="Calibri"/>
          <w:sz w:val="28"/>
          <w:szCs w:val="28"/>
          <w:lang w:val="ky-kg"/>
        </w:rPr>
        <w:t>Дооранов К.</w:t>
      </w:r>
      <w:r>
        <w:rPr>
          <w:rFonts w:eastAsia="Calibri"/>
          <w:sz w:val="28"/>
          <w:szCs w:val="28"/>
        </w:rPr>
        <w:t xml:space="preserve"> – начальник </w:t>
      </w:r>
      <w:r>
        <w:rPr>
          <w:rFonts w:eastAsia="Calibri"/>
          <w:sz w:val="28"/>
          <w:szCs w:val="28"/>
          <w:lang w:val="ky-kg"/>
        </w:rPr>
        <w:t>уч.Таш-Кумыр</w:t>
      </w:r>
      <w:r>
        <w:rPr>
          <w:rFonts w:eastAsia="Calibri"/>
          <w:sz w:val="28"/>
          <w:szCs w:val="28"/>
          <w:lang w:val="ky-kg"/>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Члены комиссии:                 -   </w:t>
      </w:r>
      <w:r>
        <w:rPr>
          <w:rFonts w:eastAsia="Calibri"/>
          <w:sz w:val="28"/>
          <w:szCs w:val="28"/>
          <w:lang w:val="ky-kg"/>
        </w:rPr>
        <w:t>Асанбаев К.</w:t>
      </w:r>
      <w:r>
        <w:rPr>
          <w:rFonts w:eastAsia="Calibri"/>
          <w:sz w:val="28"/>
          <w:szCs w:val="28"/>
        </w:rPr>
        <w:t xml:space="preserve"> – начальник ПТО    </w:t>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ab/>
        <w:t xml:space="preserve">- </w:t>
      </w:r>
      <w:r>
        <w:rPr>
          <w:rFonts w:eastAsia="Calibri"/>
          <w:sz w:val="28"/>
          <w:szCs w:val="28"/>
          <w:lang w:val="ky-kg"/>
        </w:rPr>
        <w:t>Жолдошов Д</w:t>
      </w:r>
      <w:r>
        <w:rPr>
          <w:rFonts w:eastAsia="Calibri"/>
          <w:sz w:val="28"/>
          <w:szCs w:val="28"/>
        </w:rPr>
        <w:t>. – специалист по закупкам</w:t>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ab/>
        <w:t xml:space="preserve"> </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2"/>
          <w:szCs w:val="22"/>
        </w:rPr>
      </w:pPr>
      <w:r>
        <w:rPr>
          <w:rFonts w:ascii="Calibri" w:hAnsi="Calibri" w:eastAsia="Calibri" w:cs="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Приложение №2</w:t>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2"/>
          <w:szCs w:val="22"/>
        </w:rPr>
      </w:pPr>
      <w:r>
        <w:rPr>
          <w:rFonts w:eastAsia="Calibri"/>
          <w:b/>
          <w:sz w:val="22"/>
          <w:szCs w:val="22"/>
        </w:rPr>
        <w:t>КОНСУРСНАЯ ЗАЯВКА</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Кому:_______________________________________________________</w:t>
        <w:tab/>
        <w:tab/>
        <w:t xml:space="preserve">         От:_______________________________________________________</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Дата «_______»_________________________2023 г.</w:t>
        <w:tab/>
      </w:r>
    </w:p>
    <w:p>
      <w:pPr>
        <w:spacing w:after="200" w:line="276" w:lineRule="auto"/>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1.Изучив Конкурсную документацию, включая все приложения, мы, нижеподписавшиеся, предлагаем</w:t>
        <w:tab/>
        <w:t>осуществить поставку</w:t>
        <w:tab/>
      </w:r>
      <w:r>
        <w:rPr>
          <w:rFonts w:eastAsia="Calibri"/>
          <w:i/>
          <w:sz w:val="22"/>
          <w:szCs w:val="22"/>
        </w:rPr>
        <w:t>(краткое описание предмета закупки)</w:t>
      </w:r>
      <w:r>
        <w:rPr>
          <w:rFonts w:eastAsia="Calibri"/>
          <w:sz w:val="22"/>
          <w:szCs w:val="22"/>
        </w:rPr>
        <w:t xml:space="preserve"> в полном соответствии с Конкурсной документацией на сумму:</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_____________________________________________________________</w:t>
        <w:tab/>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 xml:space="preserve">      (укажите номер лота и наименование лота) на сумму</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ab/>
        <w:t>[поставщик указывает цену лота цифрами и прописью) сом;</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ВСЕГО:</w:t>
        <w:tab/>
        <w:t>_</w:t>
      </w:r>
      <w:r>
        <w:rPr>
          <w:rFonts w:eastAsia="Calibri"/>
          <w:sz w:val="22"/>
          <w:szCs w:val="22"/>
          <w:u w:color="auto" w:val="single"/>
        </w:rPr>
        <w:t xml:space="preserve"> (пропись) сом</w:t>
      </w:r>
      <w:r>
        <w:rPr>
          <w:rFonts w:eastAsia="Calibri"/>
          <w:sz w:val="22"/>
          <w:szCs w:val="22"/>
        </w:rPr>
        <w:t>.</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2"/>
          <w:szCs w:val="22"/>
        </w:rPr>
      </w:pPr>
      <w:r>
        <w:rPr>
          <w:rFonts w:eastAsia="Calibri"/>
          <w:b/>
          <w:sz w:val="22"/>
          <w:szCs w:val="22"/>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1. «Мы обязуемся осуществить поставку в течение ____</w:t>
        <w:tab/>
        <w:t>дней со дня подписания и вступления в силу Договора).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2.Срок действия нашей Конкурсной заявки составляет (укажите требуемый срок) дней после вскрытия Конкурсных заявок.</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3.Настоящим подтверждаем, что мы:</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а) являемся правомочным Поставщиком конкурса;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б) не имеем аффилированных лиц;</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в) не имеем коллизии интересов;</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г) не находимся в «Базе данных ненадежных и недобросовестных поставщиков (подрядчиков);</w:t>
        <w:tab/>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4.В составе Конкурсной заявки предоставляются следующие документы:</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а) настоящая форма «Конкурсной заявки»;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б) заполненные «Информация о соответствии требуемым услугам», «Таблицы цен», «График выполнения заказа»;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в) справки об отсутствии задолженности по налогам и по социальному фонду;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г) «Гарантийное обеспечение Конкурсной заявки»;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д) Другие документы согласно квалификационным требованиям конкурсной документации.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8.Мы также подтверждаем, что в случаи определения нас победителями, предоставим оригиналы документов в момент заключения договора.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ab/>
        <w:t xml:space="preserve">  «_____»_______________20___года.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i/>
          <w:sz w:val="22"/>
          <w:szCs w:val="22"/>
        </w:rPr>
        <w:t>[наименование Поставщика]</w:t>
      </w:r>
      <w:r>
        <w:rPr>
          <w:rFonts w:eastAsia="Calibri"/>
          <w:sz w:val="22"/>
          <w:szCs w:val="22"/>
        </w:rPr>
        <w:t>_______________________</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 xml:space="preserve"> [Подпись и печать]</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ind w:left="3540" w:firstLine="708"/>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Приложение №3</w:t>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t>ТАБЛИЦА ЦЕН</w:t>
      </w:r>
    </w:p>
    <w:tbl>
      <w:tblPr>
        <w:tblStyle w:val="TableNormal"/>
        <w:name w:val="Таблица4"/>
        <w:tabOrder w:val="0"/>
        <w:jc w:val="left"/>
        <w:tblInd w:w="0" w:type="dxa"/>
        <w:tblW w:w="9504" w:type="dxa"/>
        <w:tblLook w:val="0600" w:firstRow="0" w:lastRow="0" w:firstColumn="0" w:lastColumn="0" w:noHBand="1" w:noVBand="1"/>
      </w:tblPr>
      <w:tblGrid>
        <w:gridCol w:w="558"/>
        <w:gridCol w:w="3822"/>
        <w:gridCol w:w="1206"/>
        <w:gridCol w:w="1026"/>
        <w:gridCol w:w="1410"/>
        <w:gridCol w:w="1482"/>
      </w:tblGrid>
      <w:tr>
        <w:trPr>
          <w:tblHeader w:val="0"/>
          <w:cantSplit w:val="0"/>
          <w:trHeight w:val="0" w:hRule="auto"/>
        </w:trPr>
        <w:tc>
          <w:tcPr>
            <w:tcW w:w="9504" w:type="dxa"/>
            <w:gridSpan w:val="6"/>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эл.оборудования, материалов и работ для резервных линий эл.передач</w:t>
            </w:r>
          </w:p>
        </w:tc>
      </w:tr>
      <w:tr>
        <w:trPr>
          <w:tblHeader w:val="0"/>
          <w:cantSplit w:val="0"/>
          <w:trHeight w:val="0" w:hRule="auto"/>
        </w:trPr>
        <w:tc>
          <w:tcPr>
            <w:tcW w:w="9504" w:type="dxa"/>
            <w:gridSpan w:val="6"/>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филиала "Таш-Кумырское предприятие теплоснабжения</w:t>
            </w:r>
          </w:p>
        </w:tc>
      </w:tr>
      <w:tr>
        <w:trPr>
          <w:tblHeader w:val="0"/>
          <w:cantSplit w:val="0"/>
          <w:trHeight w:val="0" w:hRule="auto"/>
        </w:trPr>
        <w:tc>
          <w:tcPr>
            <w:tcW w:w="558"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06"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026"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410"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48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п/п</w:t>
            </w:r>
          </w:p>
        </w:tc>
        <w:tc>
          <w:tcPr>
            <w:tcW w:w="382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Наименованиеэл.оборудования, материалов и работ</w:t>
            </w:r>
          </w:p>
        </w:tc>
        <w:tc>
          <w:tcPr>
            <w:tcW w:w="120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Един.</w:t>
              <w:br w:type="textWrapping"/>
              <w:t>измер.</w:t>
            </w:r>
          </w:p>
        </w:tc>
        <w:tc>
          <w:tcPr>
            <w:tcW w:w="102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Количество</w:t>
            </w:r>
          </w:p>
        </w:tc>
        <w:tc>
          <w:tcPr>
            <w:tcW w:w="1410"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Цена за един.(сом)</w:t>
            </w:r>
          </w:p>
        </w:tc>
        <w:tc>
          <w:tcPr>
            <w:tcW w:w="148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Сумма</w:t>
              <w:br w:type="textWrapping"/>
              <w:t>(сом)</w:t>
            </w:r>
          </w:p>
        </w:tc>
      </w:tr>
      <w:tr>
        <w:trPr>
          <w:tblHeader w:val="0"/>
          <w:cantSplit w:val="0"/>
          <w:trHeight w:val="0" w:hRule="auto"/>
        </w:trPr>
        <w:tc>
          <w:tcPr>
            <w:tcW w:w="558"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Работа</w:t>
            </w:r>
          </w:p>
        </w:tc>
        <w:tc>
          <w:tcPr>
            <w:tcW w:w="120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558"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w:t>
            </w:r>
          </w:p>
        </w:tc>
        <w:tc>
          <w:tcPr>
            <w:tcW w:w="3822"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Копание ям (по опору) глубина 1,8 м</w:t>
            </w:r>
          </w:p>
        </w:tc>
        <w:tc>
          <w:tcPr>
            <w:tcW w:w="1206"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382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Монтаж опор</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Засыпка ям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Монтаж проводов, кабелей и 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5</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Установка КТП 160 кВА, подключение к существующим сетям,  с получением разрешительных документов (тех.условия, наряд-допуск и 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Итого работа:</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151 400,00</w:t>
            </w:r>
          </w:p>
        </w:tc>
      </w:tr>
      <w:tr>
        <w:trPr>
          <w:tblHeader w:val="0"/>
          <w:cantSplit w:val="0"/>
          <w:trHeight w:val="0" w:hRule="auto"/>
        </w:trPr>
        <w:tc>
          <w:tcPr>
            <w:tcW w:w="558"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382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Материалы и оборудование</w:t>
            </w:r>
          </w:p>
        </w:tc>
        <w:tc>
          <w:tcPr>
            <w:tcW w:w="120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124" w:hRule="atLeast"/>
        </w:trPr>
        <w:tc>
          <w:tcPr>
            <w:tcW w:w="558"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382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0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КТП 6/0,4 160 кВА (полный комплект с разъеденителем)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комплект</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ЖБ опора СВ-10</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Pr>
                <w:rFonts w:ascii="Arial" w:hAnsi="Arial" w:eastAsia="Arial" w:cs="Arial"/>
                <w:color w:val="000000"/>
              </w:rPr>
            </w:pPr>
            <w:r>
              <w:rPr>
                <w:rFonts w:ascii="Arial" w:hAnsi="Arial" w:eastAsia="Arial" w:cs="Arial"/>
                <w:color w:val="000000"/>
              </w:r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Траверса ТМ-3</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Изолятор ШФ-10</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60</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5</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Провод А-35</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2200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Кабель АВВГ 50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Ж/Б кольца 1х1 (подставка для КТП)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Арматура 18мм </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9</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Катанка сталь 6-8мм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Полоса стальная 5х40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11</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Электроды "АРСЕНАЛ" 3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кг</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0851941"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ИТОГО:</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1 135 960,00</w:t>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3822"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ВСЕГО:</w:t>
            </w:r>
          </w:p>
        </w:tc>
        <w:tc>
          <w:tcPr>
            <w:tcW w:w="1206"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026"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10"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82"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0851941"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1 287 370,00</w:t>
            </w:r>
          </w:p>
        </w:tc>
      </w:tr>
      <w:tr>
        <w:trPr>
          <w:tblHeader w:val="0"/>
          <w:cantSplit w:val="0"/>
          <w:trHeight w:val="0" w:hRule="auto"/>
        </w:trPr>
        <w:tc>
          <w:tcPr>
            <w:tcW w:w="558"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382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06"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026"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1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8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558"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7464"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i/>
                <w:iCs/>
                <w:color w:val="000000"/>
              </w:rPr>
              <w:t>Примечение:</w:t>
            </w:r>
            <w:r>
              <w:rPr>
                <w:rFonts w:eastAsia="Times New Roman"/>
                <w:b/>
                <w:bCs/>
                <w:color w:val="000000"/>
              </w:rPr>
              <w:t xml:space="preserve"> В комплект КТП входит: ТМ-160 кВА, шкаф, коммутация, автоматы, рубильник, ПК-6 кВ, РЛНД-6 кВ и т.п.</w:t>
            </w:r>
          </w:p>
        </w:tc>
        <w:tc>
          <w:tcPr>
            <w:tcW w:w="148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0851941"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bl>
    <w:p>
      <w:pPr>
        <w:suppressAutoHyphens/>
        <w:hyphenationLines w:val="0"/>
      </w:pPr>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8"/>
          <w:szCs w:val="28"/>
        </w:rPr>
      </w:pPr>
      <w:r>
        <w:rPr>
          <w:rFonts w:eastAsia="Calibri"/>
          <w:b/>
          <w:color w:val="0070c0"/>
          <w:sz w:val="28"/>
          <w:szCs w:val="28"/>
        </w:rPr>
        <w:t xml:space="preserve">Выделяемая сумма на данную закупку: </w:t>
      </w:r>
      <w:r>
        <w:rPr>
          <w:rFonts w:eastAsia="Calibri"/>
          <w:b/>
          <w:color w:val="0070c0"/>
          <w:sz w:val="28"/>
          <w:szCs w:val="28"/>
          <w:lang w:val="ky-kg"/>
        </w:rPr>
        <w:t>1 287 370</w:t>
      </w:r>
      <w:r>
        <w:rPr>
          <w:rFonts w:eastAsia="Calibri"/>
          <w:b/>
          <w:color w:val="0070c0"/>
          <w:sz w:val="28"/>
          <w:szCs w:val="28"/>
        </w:rPr>
        <w:t xml:space="preserve"> сом</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ный список 3"/>
    <w:lvl w:ilvl="0">
      <w:start w:val="1"/>
      <w:numFmt w:val="decimal"/>
      <w:suff w:val="tab"/>
      <w:lvlText w:val="%1."/>
      <w:lvlJc w:val="left"/>
      <w:pPr>
        <w:ind w:left="567" w:hanging="0"/>
      </w:pPr>
    </w:lvl>
    <w:lvl w:ilvl="1">
      <w:start w:val="1"/>
      <w:numFmt w:val="lowerLetter"/>
      <w:suff w:val="tab"/>
      <w:lvlText w:val="%2."/>
      <w:lvlJc w:val="left"/>
      <w:pPr>
        <w:ind w:left="1287" w:hanging="0"/>
      </w:pPr>
    </w:lvl>
    <w:lvl w:ilvl="2">
      <w:start w:val="1"/>
      <w:numFmt w:val="lowerRoman"/>
      <w:suff w:val="tab"/>
      <w:lvlText w:val="%3."/>
      <w:lvlJc w:val="left"/>
      <w:pPr>
        <w:ind w:left="2187" w:hanging="0"/>
      </w:pPr>
    </w:lvl>
    <w:lvl w:ilvl="3">
      <w:start w:val="1"/>
      <w:numFmt w:val="decimal"/>
      <w:suff w:val="tab"/>
      <w:lvlText w:val="%4."/>
      <w:lvlJc w:val="left"/>
      <w:pPr>
        <w:ind w:left="2727" w:hanging="0"/>
      </w:pPr>
    </w:lvl>
    <w:lvl w:ilvl="4">
      <w:start w:val="1"/>
      <w:numFmt w:val="lowerLetter"/>
      <w:suff w:val="tab"/>
      <w:lvlText w:val="%5."/>
      <w:lvlJc w:val="left"/>
      <w:pPr>
        <w:ind w:left="3447" w:hanging="0"/>
      </w:pPr>
    </w:lvl>
    <w:lvl w:ilvl="5">
      <w:start w:val="1"/>
      <w:numFmt w:val="lowerRoman"/>
      <w:suff w:val="tab"/>
      <w:lvlText w:val="%6."/>
      <w:lvlJc w:val="left"/>
      <w:pPr>
        <w:ind w:left="4347" w:hanging="0"/>
      </w:pPr>
    </w:lvl>
    <w:lvl w:ilvl="6">
      <w:start w:val="1"/>
      <w:numFmt w:val="decimal"/>
      <w:suff w:val="tab"/>
      <w:lvlText w:val="%7."/>
      <w:lvlJc w:val="left"/>
      <w:pPr>
        <w:ind w:left="4887" w:hanging="0"/>
      </w:pPr>
    </w:lvl>
    <w:lvl w:ilvl="7">
      <w:start w:val="1"/>
      <w:numFmt w:val="lowerLetter"/>
      <w:suff w:val="tab"/>
      <w:lvlText w:val="%8."/>
      <w:lvlJc w:val="left"/>
      <w:pPr>
        <w:ind w:left="5607" w:hanging="0"/>
      </w:pPr>
    </w:lvl>
    <w:lvl w:ilvl="8">
      <w:start w:val="1"/>
      <w:numFmt w:val="lowerRoman"/>
      <w:suff w:val="tab"/>
      <w:lvlText w:val="%9."/>
      <w:lvlJc w:val="left"/>
      <w:pPr>
        <w:ind w:left="6507" w:hanging="0"/>
      </w:pPr>
    </w:lvl>
  </w:abstractNum>
  <w:abstractNum w:abstractNumId="3">
    <w:multiLevelType w:val="hybridMultilevel"/>
    <w:name w:val="Нумерованный список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ны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ный список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4"/>
      <w:tmLastPosIdx w:val="0"/>
    </w:tmLastPosCaret>
    <w:tmLastPosAnchor>
      <w:tmLastPosPgfIdx w:val="4"/>
      <w:tmLastPosIdx w:val="238"/>
    </w:tmLastPosAnchor>
    <w:tmLastPosTblRect w:left="0" w:top="0" w:right="0" w:bottom="0"/>
  </w:tmLastPos>
  <w:tmAppRevision w:date="1700851941" w:val="106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2"/>
      <w:szCs w:val="22"/>
      <w:lang w:val="ru-ru" w:eastAsia="zh-cn" w:bidi="ar-sa"/>
    </w:rPr>
  </w:style>
  <w:style w:type="paragraph" w:styleId="para5">
    <w:name w:val="List Paragraph"/>
    <w:qFormat/>
    <w:basedOn w:val="para0"/>
    <w:pPr>
      <w:ind w:left="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_Текст обычный (tkTekst)"/>
    <w:qFormat/>
    <w:basedOn w:val="para0"/>
    <w:pPr>
      <w:ind w:firstLine="567"/>
      <w:spacing w:after="6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rPr>
  </w:style>
  <w:style w:type="paragraph" w:styleId="para7">
    <w:name w:val="Normal (Web)"/>
    <w:qFormat/>
    <w:basedOn w:val="para0"/>
    <w:pPr>
      <w:spacing w:before="100" w:after="100" w:beforeAutospacing="1" w:afterAutospacing="1"/>
      <w:widowControl/>
    </w:pPr>
    <w:rPr>
      <w:rFonts w:eastAsia="Times New Roman"/>
      <w:sz w:val="24"/>
      <w:szCs w:val="24"/>
      <w:lang w:eastAsia="ru-ru"/>
    </w:rPr>
  </w:style>
  <w:style w:type="character" w:styleId="char0" w:default="1">
    <w:name w:val="Default Paragraph Font"/>
  </w:style>
  <w:style w:type="character" w:styleId="char1">
    <w:name w:val="Hyperlink"/>
    <w:basedOn w:val="char0"/>
    <w:rPr>
      <w:rFonts w:ascii="Calibri" w:hAnsi="Calibri" w:eastAsia="Calibri" w:cs="Calibri"/>
      <w:b w:val="0"/>
      <w:i w:val="0"/>
      <w:caps w:val="0"/>
      <w:smallCaps w:val="0"/>
      <w:strike w:val="0"/>
      <w:dstrike w:val="0"/>
      <w:vanish w:val="0"/>
      <w:color w:val="0563c1"/>
      <w:spacing w:val="0" w:percent="100"/>
      <w:w w:val="100"/>
      <w:kern w:val="1"/>
      <w:sz w:val="22"/>
      <w:szCs w:val="22"/>
      <w:u w:color="auto" w:val="single"/>
      <w:shd w:val="clear" w:fill="auto"/>
      <w:vertAlign w:val="baseline"/>
      <w:lang w:val="ru-ru"/>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2"/>
      <w:szCs w:val="22"/>
      <w:lang w:val="ru-ru" w:eastAsia="zh-cn" w:bidi="ar-sa"/>
    </w:rPr>
  </w:style>
  <w:style w:type="paragraph" w:styleId="para5">
    <w:name w:val="List Paragraph"/>
    <w:qFormat/>
    <w:basedOn w:val="para0"/>
    <w:pPr>
      <w:ind w:left="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_Текст обычный (tkTekst)"/>
    <w:qFormat/>
    <w:basedOn w:val="para0"/>
    <w:pPr>
      <w:ind w:firstLine="567"/>
      <w:spacing w:after="6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rPr>
  </w:style>
  <w:style w:type="paragraph" w:styleId="para7">
    <w:name w:val="Normal (Web)"/>
    <w:qFormat/>
    <w:basedOn w:val="para0"/>
    <w:pPr>
      <w:spacing w:before="100" w:after="100" w:beforeAutospacing="1" w:afterAutospacing="1"/>
      <w:widowControl/>
    </w:pPr>
    <w:rPr>
      <w:rFonts w:eastAsia="Times New Roman"/>
      <w:sz w:val="24"/>
      <w:szCs w:val="24"/>
      <w:lang w:eastAsia="ru-ru"/>
    </w:rPr>
  </w:style>
  <w:style w:type="character" w:styleId="char0" w:default="1">
    <w:name w:val="Default Paragraph Font"/>
  </w:style>
  <w:style w:type="character" w:styleId="char1">
    <w:name w:val="Hyperlink"/>
    <w:basedOn w:val="char0"/>
    <w:rPr>
      <w:rFonts w:ascii="Calibri" w:hAnsi="Calibri" w:eastAsia="Calibri" w:cs="Calibri"/>
      <w:b w:val="0"/>
      <w:i w:val="0"/>
      <w:caps w:val="0"/>
      <w:smallCaps w:val="0"/>
      <w:strike w:val="0"/>
      <w:dstrike w:val="0"/>
      <w:vanish w:val="0"/>
      <w:color w:val="0563c1"/>
      <w:spacing w:val="0" w:percent="100"/>
      <w:w w:val="100"/>
      <w:kern w:val="1"/>
      <w:sz w:val="22"/>
      <w:szCs w:val="22"/>
      <w:u w:color="auto" w:val="single"/>
      <w:shd w:val="clear" w:fill="auto"/>
      <w:vertAlign w:val="baseline"/>
      <w:lang w:val="ru-ru"/>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tkfpts_zakup@mail.ru" TargetMode="External"/><Relationship Id="rId9" Type="http://schemas.openxmlformats.org/officeDocument/2006/relationships/hyperlink" Target="https://kje.kg/admin/"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2023-10-25T16:14:30Z</dcterms:created>
  <dcterms:modified xsi:type="dcterms:W3CDTF">2023-11-24T18:52:21Z</dcterms:modified>
</cp:coreProperties>
</file>