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1F" w:rsidRDefault="006C571F" w:rsidP="00C030A5">
      <w:pPr>
        <w:rPr>
          <w:sz w:val="36"/>
          <w:szCs w:val="36"/>
        </w:rPr>
      </w:pPr>
    </w:p>
    <w:p w:rsidR="006C571F" w:rsidRPr="00CF4C8E" w:rsidRDefault="00840FB0" w:rsidP="006C571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№18</w:t>
      </w:r>
    </w:p>
    <w:p w:rsidR="000A03DE" w:rsidRDefault="000A03DE"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75428B" w:rsidP="006C571F">
      <w:pPr>
        <w:pStyle w:val="a5"/>
        <w:rPr>
          <w:rFonts w:ascii="Times New Roman" w:hAnsi="Times New Roman"/>
          <w:sz w:val="24"/>
          <w:szCs w:val="24"/>
        </w:rPr>
      </w:pPr>
      <w:r>
        <w:rPr>
          <w:rFonts w:ascii="Times New Roman" w:hAnsi="Times New Roman"/>
          <w:sz w:val="24"/>
          <w:szCs w:val="24"/>
        </w:rPr>
        <w:t>Дата: «16</w:t>
      </w:r>
      <w:r w:rsidR="00A32123">
        <w:rPr>
          <w:rFonts w:ascii="Times New Roman" w:hAnsi="Times New Roman"/>
          <w:sz w:val="24"/>
          <w:szCs w:val="24"/>
        </w:rPr>
        <w:t xml:space="preserve">» июнь </w:t>
      </w:r>
      <w:r w:rsidR="00440BCE">
        <w:rPr>
          <w:rFonts w:ascii="Times New Roman" w:hAnsi="Times New Roman"/>
          <w:color w:val="000000" w:themeColor="text1"/>
          <w:sz w:val="24"/>
          <w:szCs w:val="24"/>
        </w:rPr>
        <w:t>2023</w:t>
      </w:r>
      <w:r w:rsidR="006C571F" w:rsidRPr="00CF4C8E">
        <w:rPr>
          <w:rFonts w:ascii="Times New Roman" w:hAnsi="Times New Roman"/>
          <w:color w:val="000000" w:themeColor="text1"/>
          <w:sz w:val="24"/>
          <w:szCs w:val="24"/>
        </w:rPr>
        <w:t xml:space="preserve"> г.</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8B5E59" w:rsidRDefault="006C571F" w:rsidP="006C571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6C571F" w:rsidRPr="00F95E44" w:rsidRDefault="006C571F" w:rsidP="006C571F">
      <w:pPr>
        <w:spacing w:after="0"/>
        <w:rPr>
          <w:rFonts w:ascii="Times New Roman" w:hAnsi="Times New Roman" w:cs="Times New Roman"/>
        </w:rPr>
      </w:pPr>
      <w:r>
        <w:rPr>
          <w:rFonts w:ascii="Times New Roman" w:hAnsi="Times New Roman" w:cs="Times New Roman"/>
          <w:b/>
          <w:sz w:val="24"/>
          <w:szCs w:val="24"/>
        </w:rPr>
        <w:tab/>
      </w:r>
      <w:r w:rsidR="00046566">
        <w:rPr>
          <w:rFonts w:ascii="Times New Roman" w:hAnsi="Times New Roman" w:cs="Times New Roman"/>
          <w:b/>
          <w:sz w:val="24"/>
          <w:szCs w:val="24"/>
        </w:rPr>
        <w:t>П</w:t>
      </w:r>
      <w:r w:rsidR="00A919D5">
        <w:rPr>
          <w:rFonts w:ascii="Times New Roman" w:hAnsi="Times New Roman" w:cs="Times New Roman"/>
          <w:b/>
          <w:sz w:val="24"/>
          <w:szCs w:val="24"/>
        </w:rPr>
        <w:t>арогенератор мобильный пээ-500Р Регулируемый</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6C571F" w:rsidRPr="00CF4C8E" w:rsidRDefault="006C571F" w:rsidP="006C571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widowControl w:val="0"/>
        <w:numPr>
          <w:ilvl w:val="0"/>
          <w:numId w:val="1"/>
        </w:numPr>
        <w:autoSpaceDE w:val="0"/>
        <w:autoSpaceDN w:val="0"/>
        <w:adjustRightInd w:val="0"/>
      </w:pPr>
      <w:r w:rsidRPr="00CF4C8E">
        <w:t>Для участия в конкурсе необходимо:</w:t>
      </w:r>
    </w:p>
    <w:p w:rsidR="006C571F" w:rsidRPr="00CF4C8E" w:rsidRDefault="006C571F" w:rsidP="006C571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C571F" w:rsidRPr="00CF4C8E" w:rsidTr="00627A70">
        <w:trPr>
          <w:trHeight w:val="1036"/>
        </w:trPr>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C571F" w:rsidRPr="00CF4C8E" w:rsidDel="00E11396"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C571F" w:rsidRPr="00CF4C8E" w:rsidRDefault="0075428B"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22</w:t>
            </w:r>
            <w:r w:rsidR="006C571F" w:rsidRPr="006F3620">
              <w:rPr>
                <w:rFonts w:ascii="Times New Roman" w:hAnsi="Times New Roman" w:cs="Times New Roman"/>
                <w:b/>
                <w:color w:val="0070C0"/>
                <w:sz w:val="24"/>
                <w:szCs w:val="24"/>
              </w:rPr>
              <w:t>.</w:t>
            </w:r>
            <w:r w:rsidR="00A32123">
              <w:rPr>
                <w:rFonts w:ascii="Times New Roman" w:hAnsi="Times New Roman" w:cs="Times New Roman"/>
                <w:b/>
                <w:color w:val="0070C0"/>
                <w:sz w:val="24"/>
                <w:szCs w:val="24"/>
              </w:rPr>
              <w:t>06</w:t>
            </w:r>
            <w:r w:rsidR="00774655">
              <w:rPr>
                <w:rFonts w:ascii="Times New Roman" w:hAnsi="Times New Roman" w:cs="Times New Roman"/>
                <w:b/>
                <w:color w:val="0070C0"/>
                <w:sz w:val="24"/>
                <w:szCs w:val="24"/>
              </w:rPr>
              <w:t>.2023</w:t>
            </w:r>
            <w:r w:rsidR="006C571F">
              <w:rPr>
                <w:rFonts w:ascii="Times New Roman" w:hAnsi="Times New Roman" w:cs="Times New Roman"/>
                <w:b/>
                <w:color w:val="0070C0"/>
                <w:sz w:val="24"/>
                <w:szCs w:val="24"/>
              </w:rPr>
              <w:t>г. 12</w:t>
            </w:r>
            <w:r w:rsidR="006C571F" w:rsidRPr="00CF4C8E">
              <w:rPr>
                <w:rFonts w:ascii="Times New Roman" w:hAnsi="Times New Roman" w:cs="Times New Roman"/>
                <w:b/>
                <w:color w:val="0070C0"/>
                <w:sz w:val="24"/>
                <w:szCs w:val="24"/>
              </w:rPr>
              <w:t>:</w:t>
            </w:r>
            <w:r w:rsidR="006C571F" w:rsidRPr="006F3620">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C571F" w:rsidRPr="00CF4C8E" w:rsidRDefault="0075428B"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22</w:t>
            </w:r>
            <w:r w:rsidR="00A32123">
              <w:rPr>
                <w:rFonts w:ascii="Times New Roman" w:hAnsi="Times New Roman" w:cs="Times New Roman"/>
                <w:b/>
                <w:color w:val="0070C0"/>
                <w:sz w:val="24"/>
                <w:szCs w:val="24"/>
              </w:rPr>
              <w:t>.06</w:t>
            </w:r>
            <w:r w:rsidR="00774655">
              <w:rPr>
                <w:rFonts w:ascii="Times New Roman" w:hAnsi="Times New Roman" w:cs="Times New Roman"/>
                <w:b/>
                <w:color w:val="0070C0"/>
                <w:sz w:val="24"/>
                <w:szCs w:val="24"/>
              </w:rPr>
              <w:t>.2023</w:t>
            </w:r>
            <w:r w:rsidR="006C571F" w:rsidRPr="00CF4C8E">
              <w:rPr>
                <w:rFonts w:ascii="Times New Roman" w:hAnsi="Times New Roman" w:cs="Times New Roman"/>
                <w:b/>
                <w:color w:val="0070C0"/>
                <w:sz w:val="24"/>
                <w:szCs w:val="24"/>
              </w:rPr>
              <w:t>г. с 1</w:t>
            </w:r>
            <w:r w:rsidR="006C571F" w:rsidRPr="00540122">
              <w:rPr>
                <w:rFonts w:ascii="Times New Roman" w:hAnsi="Times New Roman" w:cs="Times New Roman"/>
                <w:b/>
                <w:color w:val="0070C0"/>
                <w:sz w:val="24"/>
                <w:szCs w:val="24"/>
              </w:rPr>
              <w:t>2</w:t>
            </w:r>
            <w:r w:rsidR="006C571F" w:rsidRPr="00CF4C8E">
              <w:rPr>
                <w:rFonts w:ascii="Times New Roman" w:hAnsi="Times New Roman" w:cs="Times New Roman"/>
                <w:b/>
                <w:color w:val="0070C0"/>
                <w:sz w:val="24"/>
                <w:szCs w:val="24"/>
              </w:rPr>
              <w:t>:</w:t>
            </w:r>
            <w:r w:rsidR="006C571F">
              <w:rPr>
                <w:rFonts w:ascii="Times New Roman" w:hAnsi="Times New Roman" w:cs="Times New Roman"/>
                <w:b/>
                <w:color w:val="0070C0"/>
                <w:sz w:val="24"/>
                <w:szCs w:val="24"/>
              </w:rPr>
              <w:t>0</w:t>
            </w:r>
            <w:r w:rsidR="006C571F" w:rsidRPr="00CF4C8E">
              <w:rPr>
                <w:rFonts w:ascii="Times New Roman" w:hAnsi="Times New Roman" w:cs="Times New Roman"/>
                <w:b/>
                <w:color w:val="0070C0"/>
                <w:sz w:val="24"/>
                <w:szCs w:val="24"/>
              </w:rPr>
              <w:t>0 до 1</w:t>
            </w:r>
            <w:r w:rsidR="006C571F">
              <w:rPr>
                <w:rFonts w:ascii="Times New Roman" w:hAnsi="Times New Roman" w:cs="Times New Roman"/>
                <w:b/>
                <w:color w:val="0070C0"/>
                <w:sz w:val="24"/>
                <w:szCs w:val="24"/>
              </w:rPr>
              <w:t>4</w:t>
            </w:r>
            <w:r w:rsidR="006C571F" w:rsidRPr="00CF4C8E">
              <w:rPr>
                <w:rFonts w:ascii="Times New Roman" w:hAnsi="Times New Roman" w:cs="Times New Roman"/>
                <w:b/>
                <w:color w:val="0070C0"/>
                <w:sz w:val="24"/>
                <w:szCs w:val="24"/>
              </w:rPr>
              <w:t>:</w:t>
            </w:r>
            <w:r w:rsidR="006C571F" w:rsidRPr="00540122">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rPr>
          <w:trHeight w:val="175"/>
        </w:trPr>
        <w:tc>
          <w:tcPr>
            <w:tcW w:w="3686" w:type="dxa"/>
            <w:shd w:val="clear" w:color="auto" w:fill="auto"/>
            <w:vAlign w:val="center"/>
          </w:tcPr>
          <w:p w:rsidR="006C571F" w:rsidRPr="00CF4C8E" w:rsidRDefault="006C571F" w:rsidP="00627A7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75428B">
              <w:rPr>
                <w:rFonts w:ascii="Times New Roman" w:hAnsi="Times New Roman" w:cs="Times New Roman"/>
                <w:b/>
                <w:i/>
                <w:sz w:val="24"/>
                <w:szCs w:val="24"/>
              </w:rPr>
              <w:t>22</w:t>
            </w:r>
            <w:r w:rsidR="00A32123">
              <w:rPr>
                <w:rFonts w:ascii="Times New Roman" w:hAnsi="Times New Roman" w:cs="Times New Roman"/>
                <w:b/>
                <w:i/>
                <w:sz w:val="24"/>
                <w:szCs w:val="24"/>
              </w:rPr>
              <w:t>.06</w:t>
            </w:r>
            <w:r w:rsidR="00774655">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6C571F" w:rsidRPr="00CF4C8E" w:rsidRDefault="006C571F" w:rsidP="006C571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C571F" w:rsidRPr="00CF4C8E" w:rsidRDefault="006C571F" w:rsidP="006C571F">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C571F" w:rsidRPr="00CF4C8E" w:rsidRDefault="006C571F" w:rsidP="006C571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6C571F" w:rsidRPr="00CF4C8E" w:rsidRDefault="006C571F" w:rsidP="006C571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C571F" w:rsidRPr="00CF4C8E" w:rsidRDefault="006C571F" w:rsidP="006C571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C571F" w:rsidRPr="00CF4C8E" w:rsidRDefault="006C571F" w:rsidP="006C571F">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6C571F" w:rsidRPr="00CF4C8E" w:rsidRDefault="006C571F" w:rsidP="006C571F">
      <w:pPr>
        <w:pStyle w:val="a3"/>
        <w:tabs>
          <w:tab w:val="left" w:pos="851"/>
          <w:tab w:val="left" w:pos="993"/>
        </w:tabs>
        <w:ind w:left="720"/>
        <w:jc w:val="both"/>
      </w:pPr>
      <w:r w:rsidRPr="00CF4C8E">
        <w:t>ГОКЗ возвращается не позднее трех рабочих дней в случаях:</w:t>
      </w:r>
    </w:p>
    <w:p w:rsidR="006C571F" w:rsidRPr="00CF4C8E" w:rsidRDefault="006C571F" w:rsidP="006C571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C571F" w:rsidRPr="00CF4C8E" w:rsidRDefault="006C571F" w:rsidP="006C571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C571F" w:rsidRPr="00CF4C8E" w:rsidRDefault="006C571F" w:rsidP="006C571F">
      <w:pPr>
        <w:pStyle w:val="a3"/>
        <w:tabs>
          <w:tab w:val="left" w:pos="851"/>
          <w:tab w:val="left" w:pos="993"/>
        </w:tabs>
        <w:ind w:left="720"/>
        <w:jc w:val="both"/>
      </w:pPr>
      <w:r w:rsidRPr="00CF4C8E">
        <w:t>3) прекращения процедур закупок без заключения договора.</w:t>
      </w:r>
    </w:p>
    <w:p w:rsidR="006C571F" w:rsidRPr="00CF4C8E" w:rsidRDefault="006C571F" w:rsidP="006C571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C571F" w:rsidRPr="00CF4C8E" w:rsidRDefault="006C571F" w:rsidP="006C571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C571F" w:rsidRPr="00CF4C8E" w:rsidRDefault="006C571F" w:rsidP="006C571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C571F" w:rsidRPr="00CF4C8E" w:rsidRDefault="006C571F" w:rsidP="006C571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C571F" w:rsidRPr="00CF4C8E" w:rsidRDefault="006C571F" w:rsidP="006C571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6C571F" w:rsidRPr="00CF4C8E" w:rsidRDefault="006C571F" w:rsidP="006C571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C571F" w:rsidRPr="00CF4C8E" w:rsidRDefault="006C571F" w:rsidP="006C571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C571F" w:rsidRPr="00CF4C8E" w:rsidRDefault="006C571F" w:rsidP="006C571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C571F" w:rsidRPr="00CF4C8E" w:rsidRDefault="006C571F" w:rsidP="006C571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C571F" w:rsidRPr="00CF4C8E" w:rsidRDefault="006C571F" w:rsidP="006C571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C571F" w:rsidRPr="00CF4C8E" w:rsidRDefault="006C571F" w:rsidP="006C571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C571F" w:rsidRPr="00CF4C8E" w:rsidRDefault="006C571F" w:rsidP="006C571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C571F" w:rsidRPr="00CF4C8E" w:rsidRDefault="006C571F" w:rsidP="006C571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C571F" w:rsidRPr="00CF4C8E" w:rsidRDefault="006C571F" w:rsidP="006C571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C571F" w:rsidRPr="00CF4C8E" w:rsidRDefault="006C571F" w:rsidP="006C571F">
      <w:pPr>
        <w:pStyle w:val="a3"/>
        <w:tabs>
          <w:tab w:val="left" w:pos="993"/>
        </w:tabs>
        <w:spacing w:line="259" w:lineRule="auto"/>
        <w:ind w:left="567"/>
        <w:jc w:val="both"/>
        <w:rPr>
          <w:rFonts w:eastAsiaTheme="minorHAnsi"/>
        </w:rPr>
      </w:pPr>
      <w:r w:rsidRPr="00CF4C8E">
        <w:rPr>
          <w:rFonts w:eastAsiaTheme="minorHAnsi"/>
        </w:rPr>
        <w:t>Приложение:</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rPr>
          <w:rFonts w:ascii="Tahoma" w:eastAsiaTheme="minorHAnsi" w:hAnsi="Tahoma" w:cs="Tahoma"/>
          <w:b/>
          <w:sz w:val="24"/>
          <w:szCs w:val="24"/>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Pr="0037017A" w:rsidRDefault="006C571F" w:rsidP="006C571F">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6C571F" w:rsidRPr="0037017A" w:rsidRDefault="006C571F" w:rsidP="006C571F">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C571F" w:rsidRPr="00E33E02" w:rsidTr="00627A70">
        <w:trPr>
          <w:trHeight w:val="515"/>
        </w:trPr>
        <w:tc>
          <w:tcPr>
            <w:tcW w:w="426" w:type="dxa"/>
          </w:tcPr>
          <w:p w:rsidR="006C571F" w:rsidRPr="00E33E02" w:rsidRDefault="006C571F" w:rsidP="00627A70">
            <w:pPr>
              <w:pStyle w:val="TableParagraph"/>
              <w:spacing w:line="268" w:lineRule="exact"/>
              <w:ind w:left="-883" w:firstLine="990"/>
              <w:rPr>
                <w:sz w:val="24"/>
              </w:rPr>
            </w:pPr>
            <w:r w:rsidRPr="00E33E02">
              <w:rPr>
                <w:sz w:val="24"/>
              </w:rPr>
              <w:t>№</w:t>
            </w:r>
          </w:p>
        </w:tc>
        <w:tc>
          <w:tcPr>
            <w:tcW w:w="9214" w:type="dxa"/>
          </w:tcPr>
          <w:p w:rsidR="006C571F" w:rsidRPr="00E33E02" w:rsidRDefault="006C571F" w:rsidP="00627A70">
            <w:pPr>
              <w:pStyle w:val="TableParagraph"/>
              <w:rPr>
                <w:sz w:val="24"/>
              </w:rPr>
            </w:pPr>
          </w:p>
        </w:tc>
      </w:tr>
      <w:tr w:rsidR="006C571F" w:rsidRPr="00E33E02" w:rsidTr="00627A70">
        <w:trPr>
          <w:trHeight w:val="316"/>
        </w:trPr>
        <w:tc>
          <w:tcPr>
            <w:tcW w:w="426" w:type="dxa"/>
          </w:tcPr>
          <w:p w:rsidR="006C571F" w:rsidRPr="00E33E02" w:rsidRDefault="006C571F" w:rsidP="00627A70">
            <w:pPr>
              <w:pStyle w:val="TableParagraph"/>
              <w:rPr>
                <w:sz w:val="24"/>
              </w:rPr>
            </w:pPr>
          </w:p>
        </w:tc>
        <w:tc>
          <w:tcPr>
            <w:tcW w:w="9214" w:type="dxa"/>
          </w:tcPr>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 34 22 34</w:t>
            </w:r>
          </w:p>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6C571F" w:rsidRPr="0037017A" w:rsidRDefault="006C571F" w:rsidP="00627A7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6C571F" w:rsidRPr="0037017A" w:rsidRDefault="006C571F" w:rsidP="00627A7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6C571F" w:rsidRPr="00E33E02" w:rsidRDefault="006C571F" w:rsidP="00627A70">
            <w:pPr>
              <w:pStyle w:val="TableParagraph"/>
              <w:spacing w:line="268" w:lineRule="exact"/>
              <w:ind w:left="107"/>
              <w:rPr>
                <w:sz w:val="24"/>
                <w:lang w:val="ru-RU"/>
              </w:rPr>
            </w:pPr>
          </w:p>
        </w:tc>
      </w:tr>
      <w:tr w:rsidR="006C571F" w:rsidRPr="00E33E02" w:rsidTr="00627A70">
        <w:trPr>
          <w:trHeight w:val="350"/>
        </w:trPr>
        <w:tc>
          <w:tcPr>
            <w:tcW w:w="426" w:type="dxa"/>
          </w:tcPr>
          <w:p w:rsidR="006C571F" w:rsidRPr="00E33E02" w:rsidRDefault="006C571F" w:rsidP="00627A70">
            <w:pPr>
              <w:pStyle w:val="TableParagraph"/>
              <w:rPr>
                <w:sz w:val="24"/>
                <w:lang w:val="ru-RU"/>
              </w:rPr>
            </w:pPr>
          </w:p>
        </w:tc>
        <w:tc>
          <w:tcPr>
            <w:tcW w:w="9214" w:type="dxa"/>
          </w:tcPr>
          <w:p w:rsidR="006C571F" w:rsidRPr="00B05E4C" w:rsidRDefault="006C571F" w:rsidP="00627A7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Pr>
                <w:b/>
                <w:color w:val="0000FF"/>
                <w:sz w:val="24"/>
                <w:szCs w:val="24"/>
                <w:lang w:val="ru-RU"/>
              </w:rPr>
              <w:t>Покупку</w:t>
            </w:r>
            <w:r w:rsidRPr="00F95E44">
              <w:rPr>
                <w:b/>
                <w:color w:val="0000FF"/>
                <w:sz w:val="24"/>
                <w:szCs w:val="24"/>
                <w:lang w:val="ru-RU"/>
              </w:rPr>
              <w:t xml:space="preserve"> </w:t>
            </w:r>
            <w:r w:rsidR="00046566">
              <w:rPr>
                <w:b/>
                <w:sz w:val="24"/>
                <w:szCs w:val="24"/>
                <w:lang w:val="ru-RU"/>
              </w:rPr>
              <w:t>П</w:t>
            </w:r>
            <w:r w:rsidR="00A919D5">
              <w:rPr>
                <w:b/>
                <w:sz w:val="24"/>
                <w:szCs w:val="24"/>
                <w:lang w:val="ru-RU"/>
              </w:rPr>
              <w:t>арогенератор мобильный пээ-500Р Регулируемый.</w:t>
            </w:r>
          </w:p>
        </w:tc>
      </w:tr>
      <w:tr w:rsidR="006C571F" w:rsidRPr="00E33E02" w:rsidTr="00627A70">
        <w:trPr>
          <w:trHeight w:val="277"/>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6C571F" w:rsidRPr="00E33E02" w:rsidTr="00627A70">
        <w:trPr>
          <w:trHeight w:val="551"/>
        </w:trPr>
        <w:tc>
          <w:tcPr>
            <w:tcW w:w="426" w:type="dxa"/>
          </w:tcPr>
          <w:p w:rsidR="006C571F" w:rsidRPr="00E33E02" w:rsidRDefault="006C571F" w:rsidP="00627A70">
            <w:pPr>
              <w:pStyle w:val="TableParagraph"/>
              <w:rPr>
                <w:sz w:val="24"/>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6C571F" w:rsidRPr="00E33E02" w:rsidRDefault="006C571F" w:rsidP="00627A70">
            <w:pPr>
              <w:pStyle w:val="TableParagraph"/>
              <w:spacing w:line="264" w:lineRule="exact"/>
              <w:ind w:left="107"/>
              <w:rPr>
                <w:sz w:val="24"/>
                <w:lang w:val="ru-RU"/>
              </w:rPr>
            </w:pPr>
            <w:r w:rsidRPr="00E33E02">
              <w:rPr>
                <w:sz w:val="24"/>
                <w:lang w:val="ru-RU"/>
              </w:rPr>
              <w:t xml:space="preserve">(подрядчиков): </w:t>
            </w:r>
            <w:hyperlink r:id="rId8"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6C571F" w:rsidRPr="00E33E02" w:rsidTr="00627A70">
        <w:trPr>
          <w:trHeight w:val="376"/>
        </w:trPr>
        <w:tc>
          <w:tcPr>
            <w:tcW w:w="426" w:type="dxa"/>
            <w:vMerge w:val="restart"/>
          </w:tcPr>
          <w:p w:rsidR="006C571F" w:rsidRPr="00E33E02" w:rsidRDefault="006C571F" w:rsidP="00627A70">
            <w:pPr>
              <w:pStyle w:val="TableParagraph"/>
              <w:rPr>
                <w:sz w:val="24"/>
                <w:lang w:val="ru-RU"/>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6C571F" w:rsidRPr="00E33E02" w:rsidTr="00627A70">
        <w:trPr>
          <w:trHeight w:val="276"/>
        </w:trPr>
        <w:tc>
          <w:tcPr>
            <w:tcW w:w="426" w:type="dxa"/>
            <w:vMerge/>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6C571F" w:rsidRPr="00E33E02" w:rsidTr="00627A70">
        <w:trPr>
          <w:trHeight w:val="276"/>
        </w:trPr>
        <w:tc>
          <w:tcPr>
            <w:tcW w:w="426" w:type="dxa"/>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6C571F" w:rsidRPr="00E33E02" w:rsidTr="00627A70">
        <w:trPr>
          <w:trHeight w:val="3933"/>
        </w:trPr>
        <w:tc>
          <w:tcPr>
            <w:tcW w:w="426" w:type="dxa"/>
          </w:tcPr>
          <w:p w:rsidR="006C571F" w:rsidRPr="00E33E02" w:rsidRDefault="006C571F" w:rsidP="00627A70">
            <w:pPr>
              <w:pStyle w:val="TableParagraph"/>
              <w:rPr>
                <w:sz w:val="24"/>
                <w:lang w:val="ru-RU"/>
              </w:rPr>
            </w:pPr>
          </w:p>
        </w:tc>
        <w:tc>
          <w:tcPr>
            <w:tcW w:w="9214" w:type="dxa"/>
          </w:tcPr>
          <w:p w:rsidR="006C571F" w:rsidRDefault="006C571F" w:rsidP="00627A70">
            <w:pPr>
              <w:pStyle w:val="TableParagraph"/>
              <w:ind w:left="107" w:right="100"/>
              <w:jc w:val="both"/>
              <w:rPr>
                <w:sz w:val="24"/>
                <w:lang w:val="ru-RU"/>
              </w:rPr>
            </w:pPr>
          </w:p>
          <w:p w:rsidR="006C571F" w:rsidRPr="00E33E02" w:rsidRDefault="006C571F" w:rsidP="00627A7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6C571F" w:rsidRPr="00E33E02" w:rsidRDefault="006C571F" w:rsidP="00627A7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6C571F" w:rsidRPr="00E33E02" w:rsidRDefault="006C571F" w:rsidP="00627A7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A32123">
              <w:rPr>
                <w:lang w:val="ru-RU"/>
              </w:rPr>
              <w:t>600</w:t>
            </w:r>
            <w:r w:rsidRPr="00EF5A07">
              <w:rPr>
                <w:lang w:val="ru-RU"/>
              </w:rPr>
              <w:t xml:space="preserve"> 000 сом</w:t>
            </w:r>
            <w:r w:rsidRPr="00992D62">
              <w:rPr>
                <w:rStyle w:val="field-groups-view"/>
                <w:b/>
                <w:lang w:val="ru-RU"/>
              </w:rPr>
              <w:t xml:space="preserve"> </w:t>
            </w:r>
            <w:r w:rsidR="00EF5A07">
              <w:rPr>
                <w:rStyle w:val="field-groups-view"/>
                <w:lang w:val="ru-RU"/>
              </w:rPr>
              <w:t>за последние  годы</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6C571F" w:rsidRPr="00E33E02" w:rsidTr="00627A70">
              <w:trPr>
                <w:tblCellSpacing w:w="15" w:type="dxa"/>
              </w:trPr>
              <w:tc>
                <w:tcPr>
                  <w:tcW w:w="50"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rPr>
                  </w:pPr>
                </w:p>
              </w:tc>
            </w:tr>
          </w:tbl>
          <w:p w:rsidR="006C571F" w:rsidRPr="00E33E02" w:rsidRDefault="006C571F" w:rsidP="00627A70">
            <w:pPr>
              <w:pStyle w:val="TableParagraph"/>
              <w:spacing w:line="264" w:lineRule="exact"/>
              <w:jc w:val="both"/>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C571F">
            <w:pPr>
              <w:pStyle w:val="TableParagraph"/>
              <w:spacing w:line="256" w:lineRule="exact"/>
              <w:ind w:left="107"/>
              <w:rPr>
                <w:b/>
                <w:sz w:val="24"/>
                <w:lang w:val="ru-RU"/>
              </w:rPr>
            </w:pPr>
          </w:p>
          <w:p w:rsidR="006C571F" w:rsidRPr="00E33E02" w:rsidRDefault="006C571F" w:rsidP="00627A70">
            <w:pPr>
              <w:pStyle w:val="TableParagraph"/>
              <w:spacing w:line="256" w:lineRule="exact"/>
              <w:ind w:left="107"/>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6C571F" w:rsidRPr="00E33E02" w:rsidTr="00627A70">
        <w:trPr>
          <w:trHeight w:val="275"/>
        </w:trPr>
        <w:tc>
          <w:tcPr>
            <w:tcW w:w="426" w:type="dxa"/>
          </w:tcPr>
          <w:p w:rsidR="006C571F" w:rsidRPr="00E33E02" w:rsidRDefault="006C571F" w:rsidP="00627A70">
            <w:pPr>
              <w:pStyle w:val="TableParagraph"/>
              <w:rPr>
                <w:sz w:val="20"/>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6C571F" w:rsidRPr="00E33E02" w:rsidTr="00627A70">
        <w:trPr>
          <w:trHeight w:val="550"/>
        </w:trPr>
        <w:tc>
          <w:tcPr>
            <w:tcW w:w="9640" w:type="dxa"/>
            <w:gridSpan w:val="2"/>
          </w:tcPr>
          <w:p w:rsidR="006C571F" w:rsidRPr="0037017A" w:rsidRDefault="006C571F" w:rsidP="00627A70">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6C571F" w:rsidRPr="00E33E02" w:rsidTr="00627A70">
        <w:trPr>
          <w:trHeight w:val="562"/>
        </w:trPr>
        <w:tc>
          <w:tcPr>
            <w:tcW w:w="426" w:type="dxa"/>
          </w:tcPr>
          <w:p w:rsidR="006C571F" w:rsidRPr="00992D6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6C571F" w:rsidRPr="00E33E02" w:rsidRDefault="006C571F" w:rsidP="00627A70">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Pr>
                <w:color w:val="0000FF"/>
                <w:spacing w:val="1"/>
                <w:sz w:val="24"/>
                <w:lang w:val="ru-RU"/>
              </w:rPr>
              <w:t>г.Майлуу-Суу, ул.Верхняя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6C571F" w:rsidRPr="00E33E02" w:rsidRDefault="006C571F" w:rsidP="00627A7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E33E02" w:rsidRDefault="006C571F" w:rsidP="00627A70">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B16969" w:rsidRDefault="006C571F" w:rsidP="00627A7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r w:rsidR="00A32123" w:rsidRPr="00E33E02" w:rsidTr="00627A70">
        <w:trPr>
          <w:trHeight w:val="562"/>
        </w:trPr>
        <w:tc>
          <w:tcPr>
            <w:tcW w:w="426" w:type="dxa"/>
          </w:tcPr>
          <w:p w:rsidR="00A32123" w:rsidRPr="00E33E02" w:rsidRDefault="00A32123" w:rsidP="00627A70">
            <w:pPr>
              <w:pStyle w:val="TableParagraph"/>
              <w:spacing w:line="251" w:lineRule="exact"/>
              <w:ind w:left="107"/>
              <w:rPr>
                <w:b/>
              </w:rPr>
            </w:pPr>
          </w:p>
        </w:tc>
        <w:tc>
          <w:tcPr>
            <w:tcW w:w="9214" w:type="dxa"/>
          </w:tcPr>
          <w:p w:rsidR="00A32123" w:rsidRPr="00A32123" w:rsidRDefault="00A32123" w:rsidP="00627A70">
            <w:pPr>
              <w:pStyle w:val="TableParagraph"/>
              <w:ind w:left="104"/>
              <w:rPr>
                <w:b/>
                <w:sz w:val="24"/>
                <w:lang w:val="ru-RU"/>
              </w:rPr>
            </w:pPr>
            <w:r>
              <w:rPr>
                <w:b/>
                <w:sz w:val="24"/>
                <w:lang w:val="ru-RU"/>
              </w:rPr>
              <w:t>ГОКЗ: Декларация</w:t>
            </w:r>
          </w:p>
        </w:tc>
      </w:tr>
    </w:tbl>
    <w:p w:rsidR="006C571F" w:rsidRPr="00E33E02" w:rsidRDefault="006C571F" w:rsidP="006C571F">
      <w:pPr>
        <w:rPr>
          <w:rFonts w:ascii="Times New Roman" w:hAnsi="Times New Roman" w:cs="Times New Roman"/>
        </w:rPr>
      </w:pPr>
    </w:p>
    <w:p w:rsidR="006C571F" w:rsidRPr="0037017A" w:rsidRDefault="006C571F" w:rsidP="006C571F">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6C571F" w:rsidRPr="0037017A" w:rsidRDefault="006C571F" w:rsidP="006C571F">
      <w:pPr>
        <w:spacing w:before="1"/>
        <w:ind w:left="962"/>
        <w:rPr>
          <w:rFonts w:ascii="Times New Roman" w:hAnsi="Times New Roman" w:cs="Times New Roman"/>
          <w:b/>
          <w:sz w:val="24"/>
        </w:rPr>
      </w:pPr>
    </w:p>
    <w:p w:rsidR="006C571F" w:rsidRPr="0037017A" w:rsidRDefault="006C571F" w:rsidP="006C571F">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6C571F" w:rsidRPr="00E33E02" w:rsidRDefault="006C571F" w:rsidP="006C571F">
      <w:pPr>
        <w:jc w:val="right"/>
        <w:rPr>
          <w:rFonts w:ascii="Times New Roman" w:eastAsiaTheme="minorHAnsi" w:hAnsi="Times New Roman" w:cs="Times New Roman"/>
          <w:b/>
          <w:sz w:val="19"/>
          <w:szCs w:val="19"/>
        </w:rPr>
      </w:pPr>
    </w:p>
    <w:p w:rsidR="006C571F" w:rsidRPr="00E33E02" w:rsidRDefault="006C571F" w:rsidP="006C571F">
      <w:pPr>
        <w:jc w:val="right"/>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Pr="00E33E02" w:rsidRDefault="006C571F" w:rsidP="006C571F">
      <w:pPr>
        <w:rPr>
          <w:rFonts w:ascii="Times New Roman" w:hAnsi="Times New Roman" w:cs="Times New Roman"/>
        </w:rPr>
      </w:pPr>
    </w:p>
    <w:p w:rsidR="006C571F" w:rsidRPr="00E33E02" w:rsidRDefault="006C571F" w:rsidP="006C571F">
      <w:pPr>
        <w:jc w:val="right"/>
        <w:rPr>
          <w:rFonts w:ascii="Times New Roman" w:hAnsi="Times New Roman" w:cs="Times New Roman"/>
        </w:rPr>
      </w:pPr>
    </w:p>
    <w:p w:rsidR="006C571F" w:rsidRPr="00E33E02" w:rsidRDefault="006C571F" w:rsidP="006C571F">
      <w:pPr>
        <w:jc w:val="right"/>
        <w:rPr>
          <w:rFonts w:ascii="Times New Roman" w:hAnsi="Times New Roman" w:cs="Times New Roman"/>
        </w:rPr>
      </w:pPr>
      <w:r w:rsidRPr="00E33E02">
        <w:rPr>
          <w:rFonts w:ascii="Times New Roman" w:hAnsi="Times New Roman" w:cs="Times New Roman"/>
        </w:rPr>
        <w:t>Приложение №2</w:t>
      </w:r>
    </w:p>
    <w:p w:rsidR="006C571F" w:rsidRPr="00E33E02" w:rsidRDefault="006C571F" w:rsidP="006C571F">
      <w:pPr>
        <w:jc w:val="center"/>
        <w:rPr>
          <w:rFonts w:ascii="Times New Roman" w:hAnsi="Times New Roman" w:cs="Times New Roman"/>
          <w:b/>
        </w:rPr>
      </w:pPr>
      <w:r w:rsidRPr="00E33E02">
        <w:rPr>
          <w:rFonts w:ascii="Times New Roman" w:hAnsi="Times New Roman" w:cs="Times New Roman"/>
          <w:b/>
        </w:rPr>
        <w:t>КОНСУРСНАЯ ЗАЯВКА</w:t>
      </w:r>
    </w:p>
    <w:p w:rsidR="006C571F" w:rsidRPr="00E33E02" w:rsidRDefault="006C571F" w:rsidP="006C571F">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6C571F" w:rsidRPr="00E33E02" w:rsidRDefault="006C571F" w:rsidP="006C571F">
      <w:pPr>
        <w:rPr>
          <w:rFonts w:ascii="Times New Roman" w:hAnsi="Times New Roman" w:cs="Times New Roman"/>
        </w:rPr>
      </w:pPr>
      <w:r w:rsidRPr="00E33E02">
        <w:rPr>
          <w:rFonts w:ascii="Times New Roman" w:hAnsi="Times New Roman" w:cs="Times New Roman"/>
        </w:rPr>
        <w:t>Дата «_____</w:t>
      </w:r>
      <w:r w:rsidR="007D34B8">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6C571F" w:rsidRPr="00E33E02" w:rsidRDefault="006C571F" w:rsidP="006C571F">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6C571F" w:rsidRPr="00E33E02" w:rsidRDefault="006C571F" w:rsidP="006C571F">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6C571F" w:rsidRPr="00E33E02" w:rsidRDefault="006C571F" w:rsidP="006C571F">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6C571F" w:rsidRPr="00F40577" w:rsidRDefault="00F40577" w:rsidP="00F40577">
      <w:pPr>
        <w:spacing w:after="0"/>
        <w:rPr>
          <w:rFonts w:ascii="Times New Roman" w:hAnsi="Times New Roman" w:cs="Times New Roman"/>
          <w:i/>
        </w:rPr>
      </w:pPr>
      <w:r>
        <w:rPr>
          <w:rFonts w:ascii="Times New Roman" w:hAnsi="Times New Roman" w:cs="Times New Roman"/>
          <w:i/>
        </w:rPr>
        <w:t xml:space="preserve"> [Подпись и печать</w:t>
      </w:r>
    </w:p>
    <w:p w:rsidR="00F40577" w:rsidRPr="00E33E02" w:rsidRDefault="00F40577" w:rsidP="00AB430C">
      <w:pPr>
        <w:jc w:val="center"/>
        <w:rPr>
          <w:rFonts w:ascii="Times New Roman" w:hAnsi="Times New Roman" w:cs="Times New Roman"/>
        </w:rPr>
      </w:pPr>
    </w:p>
    <w:p w:rsidR="00EF5A07" w:rsidRDefault="00F40577" w:rsidP="00F074C0">
      <w:pPr>
        <w:spacing w:after="0" w:line="259" w:lineRule="auto"/>
        <w:rPr>
          <w:rFonts w:ascii="Times New Roman" w:hAnsi="Times New Roman" w:cs="Times New Roman"/>
        </w:rPr>
      </w:pPr>
      <w:r>
        <w:rPr>
          <w:rFonts w:ascii="Times New Roman" w:hAnsi="Times New Roman" w:cs="Times New Roman"/>
        </w:rPr>
        <w:t xml:space="preserve">                                          </w:t>
      </w:r>
    </w:p>
    <w:p w:rsidR="00046566" w:rsidRPr="009F4A95" w:rsidRDefault="00046566" w:rsidP="00046566">
      <w:pPr>
        <w:jc w:val="right"/>
        <w:rPr>
          <w:rFonts w:ascii="Times New Roman" w:hAnsi="Times New Roman" w:cs="Times New Roman"/>
        </w:rPr>
      </w:pPr>
      <w:r w:rsidRPr="009F4A95">
        <w:rPr>
          <w:rFonts w:ascii="Times New Roman" w:hAnsi="Times New Roman" w:cs="Times New Roman"/>
        </w:rPr>
        <w:t>Приложение №3</w:t>
      </w:r>
    </w:p>
    <w:p w:rsidR="00046566" w:rsidRDefault="00046566" w:rsidP="00046566">
      <w:pPr>
        <w:ind w:firstLine="708"/>
      </w:pPr>
    </w:p>
    <w:p w:rsidR="00046566" w:rsidRPr="00182334" w:rsidRDefault="00F074C0" w:rsidP="00F074C0">
      <w:pPr>
        <w:rPr>
          <w:b/>
          <w:sz w:val="36"/>
          <w:szCs w:val="36"/>
        </w:rPr>
      </w:pPr>
      <w:r>
        <w:rPr>
          <w:b/>
          <w:sz w:val="36"/>
          <w:szCs w:val="36"/>
        </w:rPr>
        <w:t xml:space="preserve">        </w:t>
      </w:r>
      <w:r w:rsidR="00046566" w:rsidRPr="00182334">
        <w:rPr>
          <w:b/>
          <w:sz w:val="36"/>
          <w:szCs w:val="36"/>
        </w:rPr>
        <w:t>Покуп</w:t>
      </w:r>
      <w:r w:rsidR="00046566">
        <w:rPr>
          <w:b/>
          <w:sz w:val="36"/>
          <w:szCs w:val="36"/>
        </w:rPr>
        <w:t>ка Парогенератор мобильный</w:t>
      </w:r>
      <w:r>
        <w:rPr>
          <w:b/>
          <w:sz w:val="36"/>
          <w:szCs w:val="36"/>
        </w:rPr>
        <w:t xml:space="preserve"> ПЭЭ-500</w:t>
      </w:r>
      <w:r w:rsidR="00A919D5">
        <w:rPr>
          <w:b/>
          <w:sz w:val="36"/>
          <w:szCs w:val="36"/>
        </w:rPr>
        <w:t>Р Регулируемый.</w:t>
      </w:r>
    </w:p>
    <w:p w:rsidR="00046566" w:rsidRDefault="00046566" w:rsidP="00046566">
      <w:pPr>
        <w:ind w:firstLine="708"/>
        <w:rPr>
          <w:rFonts w:ascii="Times New Roman" w:hAnsi="Times New Roman" w:cs="Times New Roman"/>
          <w:color w:val="002060"/>
          <w:sz w:val="24"/>
          <w:szCs w:val="24"/>
        </w:rPr>
      </w:pPr>
    </w:p>
    <w:tbl>
      <w:tblPr>
        <w:tblStyle w:val="a8"/>
        <w:tblW w:w="0" w:type="auto"/>
        <w:tblLook w:val="04A0" w:firstRow="1" w:lastRow="0" w:firstColumn="1" w:lastColumn="0" w:noHBand="0" w:noVBand="1"/>
      </w:tblPr>
      <w:tblGrid>
        <w:gridCol w:w="544"/>
        <w:gridCol w:w="3477"/>
        <w:gridCol w:w="983"/>
        <w:gridCol w:w="1110"/>
        <w:gridCol w:w="1539"/>
        <w:gridCol w:w="1692"/>
      </w:tblGrid>
      <w:tr w:rsidR="00046566" w:rsidRPr="00182334" w:rsidTr="00767B1F">
        <w:tc>
          <w:tcPr>
            <w:tcW w:w="544" w:type="dxa"/>
          </w:tcPr>
          <w:p w:rsidR="00046566" w:rsidRPr="00182334" w:rsidRDefault="00046566" w:rsidP="00767B1F">
            <w:pPr>
              <w:rPr>
                <w:sz w:val="32"/>
                <w:szCs w:val="32"/>
              </w:rPr>
            </w:pPr>
            <w:r w:rsidRPr="00182334">
              <w:rPr>
                <w:sz w:val="32"/>
                <w:szCs w:val="32"/>
              </w:rPr>
              <w:t>№</w:t>
            </w:r>
          </w:p>
        </w:tc>
        <w:tc>
          <w:tcPr>
            <w:tcW w:w="3477" w:type="dxa"/>
          </w:tcPr>
          <w:p w:rsidR="00046566" w:rsidRPr="00182334" w:rsidRDefault="00046566" w:rsidP="00767B1F">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046566" w:rsidRPr="00182334" w:rsidRDefault="00046566" w:rsidP="00767B1F">
            <w:pPr>
              <w:rPr>
                <w:sz w:val="32"/>
                <w:szCs w:val="32"/>
              </w:rPr>
            </w:pPr>
          </w:p>
        </w:tc>
        <w:tc>
          <w:tcPr>
            <w:tcW w:w="983" w:type="dxa"/>
          </w:tcPr>
          <w:p w:rsidR="00046566" w:rsidRPr="00182334" w:rsidRDefault="00046566" w:rsidP="00767B1F">
            <w:pPr>
              <w:rPr>
                <w:sz w:val="32"/>
                <w:szCs w:val="32"/>
              </w:rPr>
            </w:pPr>
            <w:r w:rsidRPr="00182334">
              <w:rPr>
                <w:rFonts w:ascii="Times New Roman" w:hAnsi="Times New Roman" w:cs="Times New Roman"/>
                <w:color w:val="002060"/>
                <w:sz w:val="32"/>
                <w:szCs w:val="32"/>
              </w:rPr>
              <w:t>Ед. изм.</w:t>
            </w:r>
          </w:p>
        </w:tc>
        <w:tc>
          <w:tcPr>
            <w:tcW w:w="1110" w:type="dxa"/>
          </w:tcPr>
          <w:p w:rsidR="00046566" w:rsidRPr="00182334" w:rsidRDefault="00046566" w:rsidP="00767B1F">
            <w:pPr>
              <w:rPr>
                <w:sz w:val="32"/>
                <w:szCs w:val="32"/>
              </w:rPr>
            </w:pPr>
            <w:r w:rsidRPr="00182334">
              <w:rPr>
                <w:rFonts w:ascii="Times New Roman" w:hAnsi="Times New Roman" w:cs="Times New Roman"/>
                <w:color w:val="002060"/>
                <w:sz w:val="32"/>
                <w:szCs w:val="32"/>
              </w:rPr>
              <w:t>Кол-во</w:t>
            </w:r>
          </w:p>
        </w:tc>
        <w:tc>
          <w:tcPr>
            <w:tcW w:w="1539" w:type="dxa"/>
          </w:tcPr>
          <w:p w:rsidR="00046566" w:rsidRPr="00182334" w:rsidRDefault="00046566" w:rsidP="00767B1F">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046566" w:rsidRPr="00182334" w:rsidRDefault="00046566" w:rsidP="00767B1F">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92" w:type="dxa"/>
          </w:tcPr>
          <w:p w:rsidR="00046566" w:rsidRPr="00182334" w:rsidRDefault="00046566" w:rsidP="00767B1F">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046566" w:rsidRPr="00182334" w:rsidRDefault="00046566" w:rsidP="00767B1F">
            <w:pPr>
              <w:rPr>
                <w:sz w:val="32"/>
                <w:szCs w:val="32"/>
              </w:rPr>
            </w:pPr>
            <w:r w:rsidRPr="00182334">
              <w:rPr>
                <w:rFonts w:ascii="Times New Roman" w:hAnsi="Times New Roman" w:cs="Times New Roman"/>
                <w:color w:val="002060"/>
                <w:sz w:val="32"/>
                <w:szCs w:val="32"/>
              </w:rPr>
              <w:t xml:space="preserve">    (в сомах)</w:t>
            </w:r>
          </w:p>
        </w:tc>
      </w:tr>
      <w:tr w:rsidR="00046566" w:rsidRPr="00182334" w:rsidTr="00767B1F">
        <w:tc>
          <w:tcPr>
            <w:tcW w:w="544" w:type="dxa"/>
          </w:tcPr>
          <w:p w:rsidR="00046566" w:rsidRPr="00182334" w:rsidRDefault="00046566" w:rsidP="00767B1F">
            <w:pPr>
              <w:rPr>
                <w:sz w:val="32"/>
                <w:szCs w:val="32"/>
              </w:rPr>
            </w:pPr>
            <w:r w:rsidRPr="00182334">
              <w:rPr>
                <w:sz w:val="32"/>
                <w:szCs w:val="32"/>
              </w:rPr>
              <w:t>1</w:t>
            </w:r>
          </w:p>
        </w:tc>
        <w:tc>
          <w:tcPr>
            <w:tcW w:w="3477" w:type="dxa"/>
          </w:tcPr>
          <w:p w:rsidR="00F074C0" w:rsidRPr="00F074C0" w:rsidRDefault="00F074C0" w:rsidP="00F074C0">
            <w:pPr>
              <w:pStyle w:val="a9"/>
              <w:shd w:val="clear" w:color="auto" w:fill="FFFFFF"/>
              <w:spacing w:before="0" w:beforeAutospacing="0" w:after="0" w:afterAutospacing="0"/>
              <w:jc w:val="both"/>
              <w:rPr>
                <w:rFonts w:ascii="Helvetica" w:hAnsi="Helvetica" w:cs="Helvetica"/>
                <w:spacing w:val="2"/>
              </w:rPr>
            </w:pPr>
            <w:r>
              <w:rPr>
                <w:sz w:val="32"/>
                <w:szCs w:val="32"/>
              </w:rPr>
              <w:t xml:space="preserve">Парогенератор мобильный </w:t>
            </w:r>
            <w:r w:rsidRPr="00F074C0">
              <w:rPr>
                <w:b/>
                <w:sz w:val="32"/>
                <w:szCs w:val="32"/>
              </w:rPr>
              <w:t>ПЭЭ-500Р Регулируемый.</w:t>
            </w:r>
            <w:r>
              <w:rPr>
                <w:sz w:val="32"/>
                <w:szCs w:val="32"/>
              </w:rPr>
              <w:t xml:space="preserve"> По</w:t>
            </w:r>
            <w:r>
              <w:rPr>
                <w:rFonts w:ascii="Helvetica" w:hAnsi="Helvetica" w:cs="Helvetica"/>
                <w:b/>
                <w:bCs/>
                <w:spacing w:val="2"/>
                <w:sz w:val="27"/>
                <w:szCs w:val="27"/>
              </w:rPr>
              <w:t xml:space="preserve">     виду рабочего </w:t>
            </w:r>
            <w:r w:rsidRPr="00F074C0">
              <w:rPr>
                <w:rFonts w:ascii="Helvetica" w:hAnsi="Helvetica" w:cs="Helvetica"/>
                <w:b/>
                <w:bCs/>
                <w:spacing w:val="2"/>
                <w:sz w:val="27"/>
                <w:szCs w:val="27"/>
              </w:rPr>
              <w:t>давления:</w:t>
            </w:r>
          </w:p>
          <w:p w:rsidR="00F074C0" w:rsidRPr="00F074C0" w:rsidRDefault="00F074C0" w:rsidP="00F074C0">
            <w:pPr>
              <w:numPr>
                <w:ilvl w:val="0"/>
                <w:numId w:val="4"/>
              </w:numPr>
              <w:shd w:val="clear" w:color="auto" w:fill="FFFFFF"/>
              <w:spacing w:after="120" w:line="240" w:lineRule="auto"/>
              <w:ind w:left="450"/>
              <w:jc w:val="both"/>
              <w:rPr>
                <w:rFonts w:ascii="Helvetica" w:eastAsia="Times New Roman" w:hAnsi="Helvetica" w:cs="Helvetica"/>
                <w:spacing w:val="2"/>
                <w:sz w:val="24"/>
                <w:szCs w:val="24"/>
              </w:rPr>
            </w:pPr>
            <w:r w:rsidRPr="00F074C0">
              <w:rPr>
                <w:rFonts w:ascii="Helvetica" w:eastAsia="Times New Roman" w:hAnsi="Helvetica" w:cs="Helvetica"/>
                <w:spacing w:val="2"/>
                <w:sz w:val="24"/>
                <w:szCs w:val="24"/>
              </w:rPr>
              <w:t>стандартного давления 0,35-0,55 МПа (3,5-5,5 кгс/см²);</w:t>
            </w:r>
          </w:p>
          <w:p w:rsidR="00F074C0" w:rsidRPr="00F074C0" w:rsidRDefault="00F074C0" w:rsidP="00F074C0">
            <w:pPr>
              <w:numPr>
                <w:ilvl w:val="0"/>
                <w:numId w:val="4"/>
              </w:numPr>
              <w:shd w:val="clear" w:color="auto" w:fill="FFFFFF"/>
              <w:spacing w:after="120" w:line="240" w:lineRule="auto"/>
              <w:ind w:left="450"/>
              <w:jc w:val="both"/>
              <w:rPr>
                <w:rFonts w:ascii="Helvetica" w:eastAsia="Times New Roman" w:hAnsi="Helvetica" w:cs="Helvetica"/>
                <w:spacing w:val="2"/>
                <w:sz w:val="24"/>
                <w:szCs w:val="24"/>
              </w:rPr>
            </w:pPr>
            <w:r w:rsidRPr="00F074C0">
              <w:rPr>
                <w:rFonts w:ascii="Helvetica" w:eastAsia="Times New Roman" w:hAnsi="Helvetica" w:cs="Helvetica"/>
                <w:spacing w:val="2"/>
                <w:sz w:val="24"/>
                <w:szCs w:val="24"/>
              </w:rPr>
              <w:t>высокого давления 1,0-1,6 МПа (10,0-16,0 кгс/см²);</w:t>
            </w:r>
          </w:p>
          <w:p w:rsidR="00F074C0" w:rsidRPr="00F074C0" w:rsidRDefault="00F074C0" w:rsidP="00F074C0">
            <w:pPr>
              <w:shd w:val="clear" w:color="auto" w:fill="FFFFFF"/>
              <w:spacing w:after="0" w:line="240" w:lineRule="auto"/>
              <w:jc w:val="both"/>
              <w:rPr>
                <w:rFonts w:ascii="Helvetica" w:eastAsia="Times New Roman" w:hAnsi="Helvetica" w:cs="Helvetica"/>
                <w:spacing w:val="2"/>
                <w:sz w:val="24"/>
                <w:szCs w:val="24"/>
              </w:rPr>
            </w:pPr>
            <w:r>
              <w:rPr>
                <w:rFonts w:ascii="Helvetica" w:eastAsia="Times New Roman" w:hAnsi="Helvetica" w:cs="Helvetica"/>
                <w:b/>
                <w:bCs/>
                <w:spacing w:val="2"/>
                <w:sz w:val="27"/>
                <w:szCs w:val="27"/>
              </w:rPr>
              <w:t xml:space="preserve">По </w:t>
            </w:r>
            <w:r w:rsidRPr="00F074C0">
              <w:rPr>
                <w:rFonts w:ascii="Helvetica" w:eastAsia="Times New Roman" w:hAnsi="Helvetica" w:cs="Helvetica"/>
                <w:b/>
                <w:bCs/>
                <w:spacing w:val="2"/>
                <w:sz w:val="27"/>
                <w:szCs w:val="27"/>
              </w:rPr>
              <w:t>материалу исполнения парового котла:</w:t>
            </w:r>
          </w:p>
          <w:p w:rsidR="00F074C0" w:rsidRPr="00F074C0" w:rsidRDefault="00F074C0" w:rsidP="00F074C0">
            <w:pPr>
              <w:numPr>
                <w:ilvl w:val="0"/>
                <w:numId w:val="5"/>
              </w:numPr>
              <w:shd w:val="clear" w:color="auto" w:fill="FFFFFF"/>
              <w:spacing w:after="120" w:line="240" w:lineRule="auto"/>
              <w:ind w:left="450"/>
              <w:jc w:val="both"/>
              <w:rPr>
                <w:rFonts w:ascii="Helvetica" w:eastAsia="Times New Roman" w:hAnsi="Helvetica" w:cs="Helvetica"/>
                <w:spacing w:val="2"/>
                <w:sz w:val="24"/>
                <w:szCs w:val="24"/>
              </w:rPr>
            </w:pPr>
            <w:r w:rsidRPr="00F074C0">
              <w:rPr>
                <w:rFonts w:ascii="Helvetica" w:eastAsia="Times New Roman" w:hAnsi="Helvetica" w:cs="Helvetica"/>
                <w:spacing w:val="2"/>
                <w:sz w:val="24"/>
                <w:szCs w:val="24"/>
              </w:rPr>
              <w:t>с котлом из черного металла (стандартный);</w:t>
            </w:r>
          </w:p>
          <w:p w:rsidR="00F074C0" w:rsidRPr="00F074C0" w:rsidRDefault="00F074C0" w:rsidP="00F074C0">
            <w:pPr>
              <w:numPr>
                <w:ilvl w:val="0"/>
                <w:numId w:val="5"/>
              </w:numPr>
              <w:shd w:val="clear" w:color="auto" w:fill="FFFFFF"/>
              <w:spacing w:after="120" w:line="240" w:lineRule="auto"/>
              <w:ind w:left="450"/>
              <w:jc w:val="both"/>
              <w:rPr>
                <w:rFonts w:ascii="Helvetica" w:eastAsia="Times New Roman" w:hAnsi="Helvetica" w:cs="Helvetica"/>
                <w:spacing w:val="2"/>
                <w:sz w:val="24"/>
                <w:szCs w:val="24"/>
              </w:rPr>
            </w:pPr>
            <w:r w:rsidRPr="00F074C0">
              <w:rPr>
                <w:rFonts w:ascii="Helvetica" w:eastAsia="Times New Roman" w:hAnsi="Helvetica" w:cs="Helvetica"/>
                <w:spacing w:val="2"/>
                <w:sz w:val="24"/>
                <w:szCs w:val="24"/>
              </w:rPr>
              <w:t>с котлом из нержавеющей стали (ПЭЭ-500НР).</w:t>
            </w:r>
          </w:p>
          <w:p w:rsidR="00F074C0" w:rsidRPr="00F074C0" w:rsidRDefault="00F074C0" w:rsidP="00F074C0">
            <w:pPr>
              <w:shd w:val="clear" w:color="auto" w:fill="FFFFFF"/>
              <w:spacing w:after="0" w:line="240" w:lineRule="auto"/>
              <w:jc w:val="both"/>
              <w:rPr>
                <w:rFonts w:ascii="Helvetica" w:eastAsia="Times New Roman" w:hAnsi="Helvetica" w:cs="Helvetica"/>
                <w:spacing w:val="2"/>
                <w:sz w:val="24"/>
                <w:szCs w:val="24"/>
              </w:rPr>
            </w:pPr>
          </w:p>
          <w:p w:rsidR="00046566" w:rsidRPr="00890C7A" w:rsidRDefault="00046566" w:rsidP="00767B1F">
            <w:pPr>
              <w:rPr>
                <w:sz w:val="32"/>
                <w:szCs w:val="32"/>
              </w:rPr>
            </w:pPr>
          </w:p>
        </w:tc>
        <w:tc>
          <w:tcPr>
            <w:tcW w:w="983" w:type="dxa"/>
          </w:tcPr>
          <w:p w:rsidR="00046566" w:rsidRPr="00182334" w:rsidRDefault="00046566" w:rsidP="00767B1F">
            <w:pPr>
              <w:rPr>
                <w:sz w:val="32"/>
                <w:szCs w:val="32"/>
              </w:rPr>
            </w:pPr>
            <w:r w:rsidRPr="00182334">
              <w:rPr>
                <w:sz w:val="32"/>
                <w:szCs w:val="32"/>
              </w:rPr>
              <w:t>шт</w:t>
            </w:r>
          </w:p>
        </w:tc>
        <w:tc>
          <w:tcPr>
            <w:tcW w:w="1110" w:type="dxa"/>
          </w:tcPr>
          <w:p w:rsidR="00046566" w:rsidRPr="00182334" w:rsidRDefault="00046566" w:rsidP="00767B1F">
            <w:pPr>
              <w:rPr>
                <w:sz w:val="32"/>
                <w:szCs w:val="32"/>
              </w:rPr>
            </w:pPr>
            <w:r>
              <w:rPr>
                <w:sz w:val="32"/>
                <w:szCs w:val="32"/>
              </w:rPr>
              <w:t>1</w:t>
            </w:r>
          </w:p>
        </w:tc>
        <w:tc>
          <w:tcPr>
            <w:tcW w:w="1539" w:type="dxa"/>
          </w:tcPr>
          <w:p w:rsidR="00046566" w:rsidRPr="00182334" w:rsidRDefault="00046566" w:rsidP="00767B1F">
            <w:pPr>
              <w:rPr>
                <w:sz w:val="32"/>
                <w:szCs w:val="32"/>
              </w:rPr>
            </w:pPr>
          </w:p>
        </w:tc>
        <w:tc>
          <w:tcPr>
            <w:tcW w:w="1692" w:type="dxa"/>
          </w:tcPr>
          <w:p w:rsidR="00046566" w:rsidRPr="00182334" w:rsidRDefault="00046566" w:rsidP="00767B1F">
            <w:pPr>
              <w:rPr>
                <w:sz w:val="32"/>
                <w:szCs w:val="32"/>
              </w:rPr>
            </w:pPr>
          </w:p>
        </w:tc>
      </w:tr>
      <w:tr w:rsidR="00046566" w:rsidRPr="00182334" w:rsidTr="00767B1F">
        <w:tc>
          <w:tcPr>
            <w:tcW w:w="544" w:type="dxa"/>
          </w:tcPr>
          <w:p w:rsidR="00046566" w:rsidRPr="00182334" w:rsidRDefault="00046566" w:rsidP="00767B1F">
            <w:pPr>
              <w:rPr>
                <w:sz w:val="32"/>
                <w:szCs w:val="32"/>
              </w:rPr>
            </w:pPr>
          </w:p>
        </w:tc>
        <w:tc>
          <w:tcPr>
            <w:tcW w:w="3477" w:type="dxa"/>
          </w:tcPr>
          <w:p w:rsidR="00046566" w:rsidRPr="00182334" w:rsidRDefault="00046566" w:rsidP="00767B1F">
            <w:pPr>
              <w:rPr>
                <w:b/>
                <w:sz w:val="32"/>
                <w:szCs w:val="32"/>
              </w:rPr>
            </w:pPr>
            <w:r w:rsidRPr="00182334">
              <w:rPr>
                <w:b/>
                <w:sz w:val="32"/>
                <w:szCs w:val="32"/>
              </w:rPr>
              <w:t>ИТОГО:</w:t>
            </w:r>
          </w:p>
        </w:tc>
        <w:tc>
          <w:tcPr>
            <w:tcW w:w="983" w:type="dxa"/>
          </w:tcPr>
          <w:p w:rsidR="00046566" w:rsidRPr="00182334" w:rsidRDefault="00046566" w:rsidP="00767B1F">
            <w:pPr>
              <w:rPr>
                <w:sz w:val="32"/>
                <w:szCs w:val="32"/>
              </w:rPr>
            </w:pPr>
          </w:p>
        </w:tc>
        <w:tc>
          <w:tcPr>
            <w:tcW w:w="1110" w:type="dxa"/>
          </w:tcPr>
          <w:p w:rsidR="00046566" w:rsidRPr="00182334" w:rsidRDefault="00046566" w:rsidP="00767B1F">
            <w:pPr>
              <w:rPr>
                <w:sz w:val="32"/>
                <w:szCs w:val="32"/>
              </w:rPr>
            </w:pPr>
          </w:p>
        </w:tc>
        <w:tc>
          <w:tcPr>
            <w:tcW w:w="1539" w:type="dxa"/>
          </w:tcPr>
          <w:p w:rsidR="00046566" w:rsidRPr="00182334" w:rsidRDefault="00046566" w:rsidP="00767B1F">
            <w:pPr>
              <w:rPr>
                <w:sz w:val="32"/>
                <w:szCs w:val="32"/>
              </w:rPr>
            </w:pPr>
          </w:p>
        </w:tc>
        <w:tc>
          <w:tcPr>
            <w:tcW w:w="1692" w:type="dxa"/>
          </w:tcPr>
          <w:p w:rsidR="00046566" w:rsidRPr="00182334" w:rsidRDefault="0075428B" w:rsidP="00767B1F">
            <w:pPr>
              <w:rPr>
                <w:b/>
                <w:sz w:val="32"/>
                <w:szCs w:val="32"/>
              </w:rPr>
            </w:pPr>
            <w:r>
              <w:rPr>
                <w:b/>
                <w:sz w:val="32"/>
                <w:szCs w:val="32"/>
              </w:rPr>
              <w:t>620</w:t>
            </w:r>
            <w:bookmarkStart w:id="0" w:name="_GoBack"/>
            <w:bookmarkEnd w:id="0"/>
            <w:r w:rsidR="00046566">
              <w:rPr>
                <w:b/>
                <w:sz w:val="32"/>
                <w:szCs w:val="32"/>
              </w:rPr>
              <w:t xml:space="preserve"> 000</w:t>
            </w:r>
          </w:p>
        </w:tc>
      </w:tr>
    </w:tbl>
    <w:p w:rsidR="00046566" w:rsidRPr="00182334" w:rsidRDefault="00046566" w:rsidP="00046566">
      <w:pPr>
        <w:ind w:firstLine="708"/>
        <w:rPr>
          <w:sz w:val="32"/>
          <w:szCs w:val="32"/>
        </w:rPr>
      </w:pPr>
    </w:p>
    <w:p w:rsidR="00046566" w:rsidRPr="00D378B3" w:rsidRDefault="00046566" w:rsidP="00046566">
      <w:pPr>
        <w:ind w:firstLine="708"/>
      </w:pPr>
    </w:p>
    <w:p w:rsidR="00046566" w:rsidRPr="00D378B3" w:rsidRDefault="00046566" w:rsidP="00046566">
      <w:pPr>
        <w:ind w:firstLine="708"/>
      </w:pPr>
    </w:p>
    <w:p w:rsidR="00046566" w:rsidRPr="00F40577" w:rsidRDefault="00046566" w:rsidP="00F40577">
      <w:pPr>
        <w:spacing w:after="160" w:line="259" w:lineRule="auto"/>
        <w:rPr>
          <w:rFonts w:eastAsiaTheme="minorHAnsi"/>
          <w:color w:val="002060"/>
          <w:lang w:eastAsia="en-US"/>
        </w:rPr>
      </w:pPr>
    </w:p>
    <w:p w:rsidR="00F40577" w:rsidRPr="00F40577" w:rsidRDefault="00F40577" w:rsidP="00F40577">
      <w:pPr>
        <w:spacing w:after="160" w:line="259" w:lineRule="auto"/>
        <w:rPr>
          <w:rFonts w:eastAsiaTheme="minorHAnsi"/>
          <w:lang w:eastAsia="en-US"/>
        </w:rPr>
      </w:pPr>
    </w:p>
    <w:p w:rsidR="00F40577" w:rsidRPr="00F40577" w:rsidRDefault="00F40577" w:rsidP="00F40577">
      <w:pPr>
        <w:spacing w:after="160" w:line="259" w:lineRule="auto"/>
        <w:ind w:firstLine="708"/>
        <w:rPr>
          <w:rFonts w:eastAsiaTheme="minorHAnsi"/>
          <w:lang w:eastAsia="en-US"/>
        </w:rPr>
      </w:pPr>
    </w:p>
    <w:p w:rsidR="007D34B8" w:rsidRPr="00C030A5" w:rsidRDefault="007D34B8" w:rsidP="00C030A5">
      <w:pPr>
        <w:rPr>
          <w:sz w:val="36"/>
          <w:szCs w:val="36"/>
        </w:rPr>
        <w:sectPr w:rsidR="007D34B8" w:rsidRPr="00C030A5" w:rsidSect="002F58D5">
          <w:pgSz w:w="11906" w:h="16838"/>
          <w:pgMar w:top="1134" w:right="850" w:bottom="1134" w:left="1701" w:header="708" w:footer="708" w:gutter="0"/>
          <w:cols w:space="708"/>
          <w:docGrid w:linePitch="360"/>
        </w:sectPr>
      </w:pPr>
    </w:p>
    <w:p w:rsidR="00704D1F" w:rsidRPr="00C020D7" w:rsidRDefault="00704D1F" w:rsidP="00C030A5">
      <w:pPr>
        <w:rPr>
          <w:rFonts w:ascii="Times New Roman" w:hAnsi="Times New Roman" w:cs="Times New Roman"/>
          <w:sz w:val="24"/>
          <w:szCs w:val="24"/>
        </w:rPr>
      </w:pPr>
    </w:p>
    <w:sectPr w:rsidR="00704D1F" w:rsidRPr="00C020D7" w:rsidSect="00526E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1B9" w:rsidRDefault="002631B9" w:rsidP="000C6163">
      <w:pPr>
        <w:spacing w:after="0" w:line="240" w:lineRule="auto"/>
      </w:pPr>
      <w:r>
        <w:separator/>
      </w:r>
    </w:p>
  </w:endnote>
  <w:endnote w:type="continuationSeparator" w:id="0">
    <w:p w:rsidR="002631B9" w:rsidRDefault="002631B9" w:rsidP="000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Helvetica">
    <w:panose1 w:val="020B05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1B9" w:rsidRDefault="002631B9" w:rsidP="000C6163">
      <w:pPr>
        <w:spacing w:after="0" w:line="240" w:lineRule="auto"/>
      </w:pPr>
      <w:r>
        <w:separator/>
      </w:r>
    </w:p>
  </w:footnote>
  <w:footnote w:type="continuationSeparator" w:id="0">
    <w:p w:rsidR="002631B9" w:rsidRDefault="002631B9" w:rsidP="000C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EA60CA"/>
    <w:multiLevelType w:val="multilevel"/>
    <w:tmpl w:val="E33A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7194A6B"/>
    <w:multiLevelType w:val="multilevel"/>
    <w:tmpl w:val="804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9"/>
    <w:rsid w:val="00024C80"/>
    <w:rsid w:val="00046566"/>
    <w:rsid w:val="00060DC8"/>
    <w:rsid w:val="000A03DE"/>
    <w:rsid w:val="000A0D5F"/>
    <w:rsid w:val="000C6163"/>
    <w:rsid w:val="000D3EDA"/>
    <w:rsid w:val="000F1DAC"/>
    <w:rsid w:val="000F2366"/>
    <w:rsid w:val="001172FD"/>
    <w:rsid w:val="00162067"/>
    <w:rsid w:val="001901FD"/>
    <w:rsid w:val="001B7749"/>
    <w:rsid w:val="001C5D54"/>
    <w:rsid w:val="00233CA2"/>
    <w:rsid w:val="002533DC"/>
    <w:rsid w:val="002631B9"/>
    <w:rsid w:val="0027376C"/>
    <w:rsid w:val="00286D46"/>
    <w:rsid w:val="0029669B"/>
    <w:rsid w:val="00297F0C"/>
    <w:rsid w:val="002A7319"/>
    <w:rsid w:val="002F1AAA"/>
    <w:rsid w:val="002F58D5"/>
    <w:rsid w:val="0032535F"/>
    <w:rsid w:val="00347C86"/>
    <w:rsid w:val="003E3AA9"/>
    <w:rsid w:val="003F0D13"/>
    <w:rsid w:val="0042221E"/>
    <w:rsid w:val="00430F26"/>
    <w:rsid w:val="00440BCE"/>
    <w:rsid w:val="00455058"/>
    <w:rsid w:val="00464B56"/>
    <w:rsid w:val="004B2349"/>
    <w:rsid w:val="004D3724"/>
    <w:rsid w:val="004F410E"/>
    <w:rsid w:val="00526E14"/>
    <w:rsid w:val="00540122"/>
    <w:rsid w:val="00556C8A"/>
    <w:rsid w:val="005C508B"/>
    <w:rsid w:val="005F1748"/>
    <w:rsid w:val="00620FB2"/>
    <w:rsid w:val="00632611"/>
    <w:rsid w:val="0067209F"/>
    <w:rsid w:val="00675F5F"/>
    <w:rsid w:val="006C571F"/>
    <w:rsid w:val="006C6A09"/>
    <w:rsid w:val="006D3A32"/>
    <w:rsid w:val="006E4E3F"/>
    <w:rsid w:val="006E5583"/>
    <w:rsid w:val="006F78C3"/>
    <w:rsid w:val="00704D1F"/>
    <w:rsid w:val="0071312D"/>
    <w:rsid w:val="0072595A"/>
    <w:rsid w:val="00740BAB"/>
    <w:rsid w:val="00744270"/>
    <w:rsid w:val="00745C57"/>
    <w:rsid w:val="0075428B"/>
    <w:rsid w:val="007708B0"/>
    <w:rsid w:val="00774655"/>
    <w:rsid w:val="007844B5"/>
    <w:rsid w:val="00784932"/>
    <w:rsid w:val="007B4F17"/>
    <w:rsid w:val="007D1C81"/>
    <w:rsid w:val="007D34B8"/>
    <w:rsid w:val="00832DB0"/>
    <w:rsid w:val="00840FB0"/>
    <w:rsid w:val="00847CA3"/>
    <w:rsid w:val="00853C30"/>
    <w:rsid w:val="00887336"/>
    <w:rsid w:val="008B25F9"/>
    <w:rsid w:val="008C3A4E"/>
    <w:rsid w:val="00961D70"/>
    <w:rsid w:val="00983EB6"/>
    <w:rsid w:val="009A1774"/>
    <w:rsid w:val="009E27DB"/>
    <w:rsid w:val="009E30A7"/>
    <w:rsid w:val="00A140F9"/>
    <w:rsid w:val="00A17E86"/>
    <w:rsid w:val="00A248C8"/>
    <w:rsid w:val="00A32123"/>
    <w:rsid w:val="00A605A1"/>
    <w:rsid w:val="00A8423D"/>
    <w:rsid w:val="00A919D5"/>
    <w:rsid w:val="00AB430C"/>
    <w:rsid w:val="00B13034"/>
    <w:rsid w:val="00B549CC"/>
    <w:rsid w:val="00B66293"/>
    <w:rsid w:val="00B71477"/>
    <w:rsid w:val="00BA785A"/>
    <w:rsid w:val="00C020D7"/>
    <w:rsid w:val="00C030A5"/>
    <w:rsid w:val="00C45D25"/>
    <w:rsid w:val="00C54B87"/>
    <w:rsid w:val="00C77AA0"/>
    <w:rsid w:val="00C77C7C"/>
    <w:rsid w:val="00CA3906"/>
    <w:rsid w:val="00CD2162"/>
    <w:rsid w:val="00CD7A21"/>
    <w:rsid w:val="00D0361F"/>
    <w:rsid w:val="00D038A1"/>
    <w:rsid w:val="00D53975"/>
    <w:rsid w:val="00D63EFF"/>
    <w:rsid w:val="00DE7844"/>
    <w:rsid w:val="00E13A72"/>
    <w:rsid w:val="00E15827"/>
    <w:rsid w:val="00E276FA"/>
    <w:rsid w:val="00E3003A"/>
    <w:rsid w:val="00E54A17"/>
    <w:rsid w:val="00E5732D"/>
    <w:rsid w:val="00E73800"/>
    <w:rsid w:val="00E76186"/>
    <w:rsid w:val="00E7652C"/>
    <w:rsid w:val="00EF5A07"/>
    <w:rsid w:val="00EF75B3"/>
    <w:rsid w:val="00F074C0"/>
    <w:rsid w:val="00F26F48"/>
    <w:rsid w:val="00F40577"/>
    <w:rsid w:val="00F56F7B"/>
    <w:rsid w:val="00F65E4D"/>
    <w:rsid w:val="00F72F6F"/>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0FB3"/>
  <w15:chartTrackingRefBased/>
  <w15:docId w15:val="{7468532F-E777-4B03-80C6-B34B47A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F9"/>
    <w:pPr>
      <w:spacing w:after="200" w:line="276" w:lineRule="auto"/>
    </w:pPr>
    <w:rPr>
      <w:rFonts w:eastAsiaTheme="minorEastAsia"/>
      <w:lang w:eastAsia="ru-RU"/>
    </w:rPr>
  </w:style>
  <w:style w:type="paragraph" w:styleId="1">
    <w:name w:val="heading 1"/>
    <w:basedOn w:val="a"/>
    <w:next w:val="a"/>
    <w:link w:val="10"/>
    <w:uiPriority w:val="9"/>
    <w:qFormat/>
    <w:rsid w:val="00A140F9"/>
    <w:pPr>
      <w:keepNext/>
      <w:keepLines/>
      <w:spacing w:before="480" w:after="0"/>
      <w:outlineLvl w:val="0"/>
    </w:pPr>
    <w:rPr>
      <w:rFonts w:asciiTheme="majorHAnsi" w:eastAsiaTheme="majorEastAsia" w:hAnsiTheme="majorHAnsi" w:cstheme="majorBidi"/>
      <w:b/>
      <w:bCs/>
      <w:color w:val="2E74B5" w:themeColor="accent1" w:themeShade="BF"/>
      <w:sz w:val="28"/>
      <w:szCs w:val="28"/>
      <w:lang w:val="ky-KG" w:eastAsia="en-US"/>
    </w:rPr>
  </w:style>
  <w:style w:type="paragraph" w:styleId="2">
    <w:name w:val="heading 2"/>
    <w:basedOn w:val="a"/>
    <w:next w:val="a"/>
    <w:link w:val="20"/>
    <w:uiPriority w:val="9"/>
    <w:unhideWhenUsed/>
    <w:qFormat/>
    <w:rsid w:val="00A140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F9"/>
    <w:rPr>
      <w:rFonts w:asciiTheme="majorHAnsi" w:eastAsiaTheme="majorEastAsia" w:hAnsiTheme="majorHAnsi" w:cstheme="majorBidi"/>
      <w:b/>
      <w:bCs/>
      <w:color w:val="2E74B5" w:themeColor="accent1" w:themeShade="BF"/>
      <w:sz w:val="28"/>
      <w:szCs w:val="28"/>
      <w:lang w:val="ky-KG"/>
    </w:rPr>
  </w:style>
  <w:style w:type="character" w:customStyle="1" w:styleId="20">
    <w:name w:val="Заголовок 2 Знак"/>
    <w:basedOn w:val="a0"/>
    <w:link w:val="2"/>
    <w:uiPriority w:val="9"/>
    <w:rsid w:val="00A140F9"/>
    <w:rPr>
      <w:rFonts w:asciiTheme="majorHAnsi" w:eastAsiaTheme="majorEastAsia" w:hAnsiTheme="majorHAnsi" w:cstheme="majorBidi"/>
      <w:b/>
      <w:bCs/>
      <w:color w:val="5B9BD5" w:themeColor="accent1"/>
      <w:sz w:val="26"/>
      <w:szCs w:val="26"/>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140F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140F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140F9"/>
    <w:pPr>
      <w:spacing w:after="60"/>
      <w:ind w:firstLine="567"/>
      <w:jc w:val="both"/>
    </w:pPr>
    <w:rPr>
      <w:rFonts w:ascii="Arial" w:eastAsia="Times New Roman" w:hAnsi="Arial" w:cs="Arial"/>
      <w:sz w:val="20"/>
      <w:szCs w:val="20"/>
    </w:rPr>
  </w:style>
  <w:style w:type="paragraph" w:styleId="a5">
    <w:name w:val="No Spacing"/>
    <w:link w:val="a6"/>
    <w:uiPriority w:val="1"/>
    <w:qFormat/>
    <w:rsid w:val="00A140F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140F9"/>
    <w:rPr>
      <w:rFonts w:ascii="Calibri" w:eastAsia="Calibri" w:hAnsi="Calibri" w:cs="Times New Roman"/>
    </w:rPr>
  </w:style>
  <w:style w:type="table" w:customStyle="1" w:styleId="TableNormal">
    <w:name w:val="Table Normal"/>
    <w:uiPriority w:val="2"/>
    <w:semiHidden/>
    <w:unhideWhenUsed/>
    <w:qFormat/>
    <w:rsid w:val="00A14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0F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140F9"/>
  </w:style>
  <w:style w:type="character" w:styleId="a7">
    <w:name w:val="Hyperlink"/>
    <w:basedOn w:val="a0"/>
    <w:uiPriority w:val="99"/>
    <w:unhideWhenUsed/>
    <w:rsid w:val="00A140F9"/>
    <w:rPr>
      <w:color w:val="0563C1" w:themeColor="hyperlink"/>
      <w:u w:val="single"/>
    </w:rPr>
  </w:style>
  <w:style w:type="character" w:customStyle="1" w:styleId="text">
    <w:name w:val="text"/>
    <w:basedOn w:val="a0"/>
    <w:rsid w:val="00A140F9"/>
  </w:style>
  <w:style w:type="character" w:customStyle="1" w:styleId="label-title">
    <w:name w:val="label-title"/>
    <w:basedOn w:val="a0"/>
    <w:rsid w:val="00A140F9"/>
  </w:style>
  <w:style w:type="table" w:styleId="a8">
    <w:name w:val="Table Grid"/>
    <w:basedOn w:val="a1"/>
    <w:uiPriority w:val="59"/>
    <w:rsid w:val="00A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
    <w:name w:val="inplace"/>
    <w:basedOn w:val="a0"/>
    <w:rsid w:val="00A140F9"/>
  </w:style>
  <w:style w:type="paragraph" w:styleId="a9">
    <w:name w:val="Normal (Web)"/>
    <w:basedOn w:val="a"/>
    <w:uiPriority w:val="99"/>
    <w:semiHidden/>
    <w:unhideWhenUsed/>
    <w:rsid w:val="005F174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F1748"/>
    <w:rPr>
      <w:b/>
      <w:bCs/>
    </w:rPr>
  </w:style>
  <w:style w:type="paragraph" w:styleId="ab">
    <w:name w:val="Balloon Text"/>
    <w:basedOn w:val="a"/>
    <w:link w:val="ac"/>
    <w:uiPriority w:val="99"/>
    <w:semiHidden/>
    <w:unhideWhenUsed/>
    <w:rsid w:val="00117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2FD"/>
    <w:rPr>
      <w:rFonts w:ascii="Segoe UI" w:eastAsiaTheme="minorEastAsia" w:hAnsi="Segoe UI" w:cs="Segoe UI"/>
      <w:sz w:val="18"/>
      <w:szCs w:val="18"/>
      <w:lang w:eastAsia="ru-RU"/>
    </w:rPr>
  </w:style>
  <w:style w:type="paragraph" w:styleId="ad">
    <w:name w:val="header"/>
    <w:basedOn w:val="a"/>
    <w:link w:val="ae"/>
    <w:uiPriority w:val="99"/>
    <w:unhideWhenUsed/>
    <w:rsid w:val="000C6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6163"/>
    <w:rPr>
      <w:rFonts w:eastAsiaTheme="minorEastAsia"/>
      <w:lang w:eastAsia="ru-RU"/>
    </w:rPr>
  </w:style>
  <w:style w:type="paragraph" w:styleId="af">
    <w:name w:val="footer"/>
    <w:basedOn w:val="a"/>
    <w:link w:val="af0"/>
    <w:uiPriority w:val="99"/>
    <w:unhideWhenUsed/>
    <w:rsid w:val="000C6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6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5183">
      <w:bodyDiv w:val="1"/>
      <w:marLeft w:val="0"/>
      <w:marRight w:val="0"/>
      <w:marTop w:val="0"/>
      <w:marBottom w:val="0"/>
      <w:divBdr>
        <w:top w:val="none" w:sz="0" w:space="0" w:color="auto"/>
        <w:left w:val="none" w:sz="0" w:space="0" w:color="auto"/>
        <w:bottom w:val="none" w:sz="0" w:space="0" w:color="auto"/>
        <w:right w:val="none" w:sz="0" w:space="0" w:color="auto"/>
      </w:divBdr>
    </w:div>
    <w:div w:id="1168053692">
      <w:bodyDiv w:val="1"/>
      <w:marLeft w:val="0"/>
      <w:marRight w:val="0"/>
      <w:marTop w:val="0"/>
      <w:marBottom w:val="0"/>
      <w:divBdr>
        <w:top w:val="none" w:sz="0" w:space="0" w:color="auto"/>
        <w:left w:val="none" w:sz="0" w:space="0" w:color="auto"/>
        <w:bottom w:val="none" w:sz="0" w:space="0" w:color="auto"/>
        <w:right w:val="none" w:sz="0" w:space="0" w:color="auto"/>
      </w:divBdr>
    </w:div>
    <w:div w:id="1642732377">
      <w:bodyDiv w:val="1"/>
      <w:marLeft w:val="0"/>
      <w:marRight w:val="0"/>
      <w:marTop w:val="0"/>
      <w:marBottom w:val="0"/>
      <w:divBdr>
        <w:top w:val="none" w:sz="0" w:space="0" w:color="auto"/>
        <w:left w:val="none" w:sz="0" w:space="0" w:color="auto"/>
        <w:bottom w:val="none" w:sz="0" w:space="0" w:color="auto"/>
        <w:right w:val="none" w:sz="0" w:space="0" w:color="auto"/>
      </w:divBdr>
    </w:div>
    <w:div w:id="17986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C5E6-5816-4610-B627-39A8B32E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9</Pages>
  <Words>2032</Words>
  <Characters>11586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82</cp:revision>
  <cp:lastPrinted>2023-03-30T08:40:00Z</cp:lastPrinted>
  <dcterms:created xsi:type="dcterms:W3CDTF">2022-07-12T10:32:00Z</dcterms:created>
  <dcterms:modified xsi:type="dcterms:W3CDTF">2023-06-16T05:27:00Z</dcterms:modified>
</cp:coreProperties>
</file>